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7EE9E566" w:rsidR="00E203C2" w:rsidRDefault="00E203C2" w:rsidP="00E203C2">
      <w:r>
        <w:rPr>
          <w:noProof/>
          <w:lang w:eastAsia="en-GB" w:bidi="ar-SA"/>
        </w:rPr>
        <w:drawing>
          <wp:inline distT="0" distB="0" distL="0" distR="0" wp14:anchorId="653CD4DB" wp14:editId="6E126EDE">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297DF71C" w:rsidR="00BA24E2" w:rsidRPr="00502074" w:rsidRDefault="00EE4822" w:rsidP="00BA24E2">
      <w:pPr>
        <w:rPr>
          <w:b/>
          <w:sz w:val="28"/>
          <w:szCs w:val="28"/>
        </w:rPr>
      </w:pPr>
      <w:r w:rsidRPr="00502074">
        <w:rPr>
          <w:b/>
          <w:sz w:val="28"/>
          <w:szCs w:val="28"/>
        </w:rPr>
        <w:t>22</w:t>
      </w:r>
      <w:r w:rsidR="00BA24E2" w:rsidRPr="00502074">
        <w:rPr>
          <w:b/>
          <w:sz w:val="28"/>
          <w:szCs w:val="28"/>
        </w:rPr>
        <w:t xml:space="preserve"> </w:t>
      </w:r>
      <w:r w:rsidR="005F1821" w:rsidRPr="00502074">
        <w:rPr>
          <w:b/>
          <w:sz w:val="28"/>
          <w:szCs w:val="28"/>
        </w:rPr>
        <w:t>April</w:t>
      </w:r>
      <w:r w:rsidR="00806DD2" w:rsidRPr="00502074">
        <w:rPr>
          <w:b/>
          <w:sz w:val="28"/>
          <w:szCs w:val="28"/>
        </w:rPr>
        <w:t xml:space="preserve"> 2021</w:t>
      </w:r>
      <w:bookmarkStart w:id="0" w:name="_GoBack"/>
      <w:bookmarkEnd w:id="0"/>
    </w:p>
    <w:p w14:paraId="36055913" w14:textId="28289E9A" w:rsidR="00BA24E2" w:rsidRPr="00502074" w:rsidRDefault="00502074" w:rsidP="00BA24E2">
      <w:pPr>
        <w:rPr>
          <w:b/>
          <w:sz w:val="28"/>
          <w:szCs w:val="28"/>
        </w:rPr>
      </w:pPr>
      <w:r w:rsidRPr="00502074">
        <w:rPr>
          <w:b/>
          <w:sz w:val="28"/>
          <w:szCs w:val="28"/>
        </w:rPr>
        <w:t>153-21</w:t>
      </w:r>
    </w:p>
    <w:p w14:paraId="0636FCE1" w14:textId="77777777" w:rsidR="00BA24E2" w:rsidRDefault="00BA24E2" w:rsidP="00E203C2"/>
    <w:p w14:paraId="06900874" w14:textId="0D4CE334" w:rsidR="00D056F1" w:rsidRPr="00806DD2" w:rsidRDefault="000427B2" w:rsidP="002432EE">
      <w:pPr>
        <w:pStyle w:val="FSTitle"/>
        <w:rPr>
          <w:b/>
        </w:rPr>
      </w:pPr>
      <w:r w:rsidRPr="00806DD2">
        <w:rPr>
          <w:b/>
        </w:rPr>
        <w:t>C</w:t>
      </w:r>
      <w:r w:rsidR="00D8470F" w:rsidRPr="00806DD2">
        <w:rPr>
          <w:b/>
        </w:rPr>
        <w:t>all</w:t>
      </w:r>
      <w:r w:rsidRPr="00806DD2">
        <w:rPr>
          <w:b/>
        </w:rPr>
        <w:t xml:space="preserve"> </w:t>
      </w:r>
      <w:r w:rsidR="00D8470F" w:rsidRPr="00806DD2">
        <w:rPr>
          <w:b/>
        </w:rPr>
        <w:t>for</w:t>
      </w:r>
      <w:r w:rsidRPr="00806DD2">
        <w:rPr>
          <w:b/>
        </w:rPr>
        <w:t xml:space="preserve"> </w:t>
      </w:r>
      <w:r w:rsidR="00D8470F" w:rsidRPr="00806DD2">
        <w:rPr>
          <w:b/>
        </w:rPr>
        <w:t>submissions</w:t>
      </w:r>
      <w:r w:rsidRPr="00806DD2">
        <w:rPr>
          <w:b/>
        </w:rPr>
        <w:t xml:space="preserve"> – </w:t>
      </w:r>
      <w:r w:rsidR="00806DD2" w:rsidRPr="00806DD2">
        <w:rPr>
          <w:b/>
        </w:rPr>
        <w:t>Application A1214</w:t>
      </w:r>
    </w:p>
    <w:p w14:paraId="5EA0ECE8" w14:textId="77777777" w:rsidR="00E203C2" w:rsidRPr="00806DD2" w:rsidRDefault="00E203C2" w:rsidP="00E203C2"/>
    <w:p w14:paraId="59A476A1" w14:textId="2DE2314D" w:rsidR="00806DD2" w:rsidRPr="00A91DF1" w:rsidRDefault="00806DD2" w:rsidP="002432EE">
      <w:pPr>
        <w:pStyle w:val="FSTitle"/>
        <w:rPr>
          <w:color w:val="FF0000"/>
        </w:rPr>
      </w:pPr>
      <w:r w:rsidRPr="00806DD2">
        <w:t xml:space="preserve">Nicotinamide riboside chloride as Vitamin B3 in FSMP </w:t>
      </w:r>
      <w:hyperlink r:id="rId15" w:history="1">
        <w:r>
          <w:rPr>
            <w:vanish/>
            <w:color w:val="262626"/>
            <w:u w:val="single"/>
            <w:lang w:val="en-AU"/>
          </w:rPr>
          <w:t xml:space="preserve">  </w:t>
        </w:r>
      </w:hyperlink>
    </w:p>
    <w:p w14:paraId="3D051650" w14:textId="77777777" w:rsidR="00E203C2" w:rsidRPr="00E81F6E" w:rsidRDefault="00E203C2" w:rsidP="00E203C2">
      <w:pPr>
        <w:pBdr>
          <w:bottom w:val="single" w:sz="12" w:space="1" w:color="auto"/>
        </w:pBdr>
        <w:spacing w:line="280" w:lineRule="exact"/>
        <w:rPr>
          <w:rFonts w:cs="Arial"/>
          <w:bCs/>
        </w:rPr>
      </w:pPr>
    </w:p>
    <w:p w14:paraId="0735C279" w14:textId="77777777" w:rsidR="00E203C2" w:rsidRPr="00E81F6E" w:rsidRDefault="00E203C2" w:rsidP="00E203C2"/>
    <w:p w14:paraId="34725368" w14:textId="3C371EE7" w:rsidR="00E063C6" w:rsidRDefault="00DF4DFE" w:rsidP="00442E6A">
      <w:pPr>
        <w:spacing w:before="120" w:after="120"/>
        <w:rPr>
          <w:sz w:val="20"/>
          <w:szCs w:val="20"/>
        </w:rPr>
      </w:pPr>
      <w:r>
        <w:rPr>
          <w:sz w:val="20"/>
          <w:szCs w:val="20"/>
        </w:rPr>
        <w:t>Food Standards Australia New Zealand (</w:t>
      </w:r>
      <w:r w:rsidR="00E063C6" w:rsidRPr="0015770F">
        <w:rPr>
          <w:sz w:val="20"/>
          <w:szCs w:val="20"/>
        </w:rPr>
        <w:t>FSANZ</w:t>
      </w:r>
      <w:r>
        <w:rPr>
          <w:sz w:val="20"/>
          <w:szCs w:val="20"/>
        </w:rPr>
        <w:t>)</w:t>
      </w:r>
      <w:r w:rsidR="00E063C6" w:rsidRPr="0015770F">
        <w:rPr>
          <w:sz w:val="20"/>
          <w:szCs w:val="20"/>
        </w:rPr>
        <w:t xml:space="preserve"> </w:t>
      </w:r>
      <w:r w:rsidR="00D81D38" w:rsidRPr="0015770F">
        <w:rPr>
          <w:sz w:val="20"/>
          <w:szCs w:val="20"/>
        </w:rPr>
        <w:t xml:space="preserve">has assessed an </w:t>
      </w:r>
      <w:r w:rsidR="00ED3C06">
        <w:rPr>
          <w:sz w:val="20"/>
          <w:szCs w:val="20"/>
        </w:rPr>
        <w:t>a</w:t>
      </w:r>
      <w:r w:rsidR="00351B07" w:rsidRPr="0015770F">
        <w:rPr>
          <w:sz w:val="20"/>
          <w:szCs w:val="20"/>
        </w:rPr>
        <w:t>pplication made by</w:t>
      </w:r>
      <w:r w:rsidR="00806DD2" w:rsidRPr="0015770F">
        <w:rPr>
          <w:sz w:val="20"/>
          <w:szCs w:val="20"/>
        </w:rPr>
        <w:t xml:space="preserve"> ChromaDex Inc.</w:t>
      </w:r>
      <w:r w:rsidR="00351B07" w:rsidRPr="0015770F">
        <w:rPr>
          <w:sz w:val="20"/>
          <w:szCs w:val="20"/>
        </w:rPr>
        <w:t xml:space="preserve"> </w:t>
      </w:r>
      <w:r w:rsidR="007C174F" w:rsidRPr="0015770F">
        <w:rPr>
          <w:sz w:val="20"/>
          <w:szCs w:val="20"/>
        </w:rPr>
        <w:t>to</w:t>
      </w:r>
      <w:r w:rsidR="0015770F" w:rsidRPr="0015770F">
        <w:rPr>
          <w:sz w:val="20"/>
          <w:szCs w:val="20"/>
        </w:rPr>
        <w:t xml:space="preserve"> amend the Code to permit the use of nicotinamide riboside chloride as a form of </w:t>
      </w:r>
      <w:r w:rsidR="003C1AD8">
        <w:rPr>
          <w:sz w:val="20"/>
          <w:szCs w:val="20"/>
        </w:rPr>
        <w:t>v</w:t>
      </w:r>
      <w:r w:rsidR="002F31B5">
        <w:rPr>
          <w:sz w:val="20"/>
          <w:szCs w:val="20"/>
        </w:rPr>
        <w:t>itamin B3</w:t>
      </w:r>
      <w:r w:rsidR="0015770F" w:rsidRPr="0015770F">
        <w:rPr>
          <w:sz w:val="20"/>
          <w:szCs w:val="20"/>
        </w:rPr>
        <w:t xml:space="preserve"> in food for special medical purposes </w:t>
      </w:r>
      <w:r w:rsidR="00413CA8" w:rsidRPr="0015770F">
        <w:rPr>
          <w:sz w:val="20"/>
          <w:szCs w:val="20"/>
        </w:rPr>
        <w:t xml:space="preserve">and has prepared a draft </w:t>
      </w:r>
      <w:r w:rsidR="00D8470F" w:rsidRPr="0015770F">
        <w:rPr>
          <w:sz w:val="20"/>
          <w:szCs w:val="20"/>
        </w:rPr>
        <w:t>food regulatory measure</w:t>
      </w:r>
      <w:r w:rsidR="00351B07" w:rsidRPr="0015770F">
        <w:rPr>
          <w:sz w:val="20"/>
          <w:szCs w:val="20"/>
        </w:rPr>
        <w:t xml:space="preserve">. </w:t>
      </w:r>
      <w:r w:rsidR="00D22F3C" w:rsidRPr="0015770F">
        <w:rPr>
          <w:sz w:val="20"/>
          <w:szCs w:val="20"/>
        </w:rPr>
        <w:t xml:space="preserve">Pursuant to section 31 of the </w:t>
      </w:r>
      <w:r w:rsidR="00D22F3C" w:rsidRPr="0015770F">
        <w:rPr>
          <w:i/>
          <w:sz w:val="20"/>
          <w:szCs w:val="20"/>
        </w:rPr>
        <w:t>Food Standard</w:t>
      </w:r>
      <w:r w:rsidR="00E203C2" w:rsidRPr="0015770F">
        <w:rPr>
          <w:i/>
          <w:sz w:val="20"/>
          <w:szCs w:val="20"/>
        </w:rPr>
        <w:t>s Australia New Zealand Act 1991</w:t>
      </w:r>
      <w:r w:rsidR="00D22F3C" w:rsidRPr="0015770F">
        <w:rPr>
          <w:i/>
          <w:sz w:val="20"/>
          <w:szCs w:val="20"/>
        </w:rPr>
        <w:t xml:space="preserve"> </w:t>
      </w:r>
      <w:r w:rsidR="00E203C2" w:rsidRPr="0015770F">
        <w:rPr>
          <w:sz w:val="20"/>
          <w:szCs w:val="20"/>
        </w:rPr>
        <w:t>(</w:t>
      </w:r>
      <w:r w:rsidR="00D22F3C" w:rsidRPr="0015770F">
        <w:rPr>
          <w:sz w:val="20"/>
          <w:szCs w:val="20"/>
        </w:rPr>
        <w:t>FSANZ Act), FSANZ now c</w:t>
      </w:r>
      <w:r w:rsidR="00E203C2" w:rsidRPr="0015770F">
        <w:rPr>
          <w:sz w:val="20"/>
          <w:szCs w:val="20"/>
        </w:rPr>
        <w:t xml:space="preserve">alls for submissions to assist consideration of the </w:t>
      </w:r>
      <w:r w:rsidR="00413CA8" w:rsidRPr="0015770F">
        <w:rPr>
          <w:sz w:val="20"/>
          <w:szCs w:val="20"/>
        </w:rPr>
        <w:t xml:space="preserve">draft </w:t>
      </w:r>
      <w:r w:rsidR="00D8470F" w:rsidRPr="0015770F">
        <w:rPr>
          <w:sz w:val="20"/>
          <w:szCs w:val="20"/>
        </w:rPr>
        <w:t>food regulatory measure</w:t>
      </w:r>
      <w:r w:rsidR="00D22F3C" w:rsidRPr="0015770F">
        <w:rPr>
          <w:sz w:val="20"/>
          <w:szCs w:val="20"/>
        </w:rPr>
        <w:t>.</w:t>
      </w:r>
    </w:p>
    <w:p w14:paraId="76C6F484" w14:textId="407753BC" w:rsidR="00351B07" w:rsidRDefault="00A91DF1" w:rsidP="00442E6A">
      <w:pPr>
        <w:spacing w:before="120" w:after="120"/>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6" w:history="1">
        <w:r w:rsidR="00C56F71">
          <w:rPr>
            <w:rStyle w:val="Hyperlink"/>
            <w:sz w:val="20"/>
            <w:szCs w:val="20"/>
            <w:lang w:val="en-AU"/>
          </w:rPr>
          <w:t>information for submitters</w:t>
        </w:r>
      </w:hyperlink>
      <w:r w:rsidR="00351B07" w:rsidRPr="007C174F">
        <w:rPr>
          <w:sz w:val="20"/>
          <w:szCs w:val="20"/>
        </w:rPr>
        <w:t>.</w:t>
      </w:r>
    </w:p>
    <w:p w14:paraId="0175A9C5" w14:textId="65D991E9" w:rsidR="00276026" w:rsidRDefault="00276026" w:rsidP="00442E6A">
      <w:pPr>
        <w:spacing w:before="120" w:after="120"/>
        <w:ind w:right="-2"/>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5610940B" w14:textId="77777777" w:rsidR="00E203C2" w:rsidRPr="007C174F" w:rsidRDefault="00AD22F9" w:rsidP="00442E6A">
      <w:pPr>
        <w:spacing w:before="120" w:after="120"/>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7" w:history="1">
        <w:r w:rsidR="004A3685">
          <w:rPr>
            <w:rStyle w:val="Hyperlink"/>
            <w:sz w:val="20"/>
            <w:szCs w:val="20"/>
            <w:lang w:val="en-AU"/>
          </w:rPr>
          <w:t>information for submitters</w:t>
        </w:r>
      </w:hyperlink>
      <w:r w:rsidR="004A3685">
        <w:rPr>
          <w:color w:val="000000"/>
          <w:sz w:val="20"/>
          <w:szCs w:val="20"/>
          <w:lang w:val="en-AU"/>
        </w:rPr>
        <w:t>.</w:t>
      </w:r>
    </w:p>
    <w:p w14:paraId="51D6F2D9" w14:textId="77777777" w:rsidR="00351B07" w:rsidRPr="007C174F" w:rsidRDefault="00E063C6" w:rsidP="00442E6A">
      <w:pPr>
        <w:spacing w:before="120" w:after="120"/>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8"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9"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6A2048E" w14:textId="77777777" w:rsidR="00E063C6" w:rsidRPr="007C174F" w:rsidRDefault="00E063C6" w:rsidP="00442E6A">
      <w:pPr>
        <w:spacing w:before="120" w:after="120"/>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3816012" w14:textId="69EF45F6" w:rsidR="00E063C6" w:rsidRPr="00FB1533" w:rsidRDefault="00E063C6" w:rsidP="00442E6A">
      <w:pPr>
        <w:tabs>
          <w:tab w:val="left" w:pos="7920"/>
        </w:tabs>
        <w:autoSpaceDE w:val="0"/>
        <w:autoSpaceDN w:val="0"/>
        <w:adjustRightInd w:val="0"/>
        <w:spacing w:before="120" w:after="120"/>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C956D3" w:rsidRPr="00C956D3">
        <w:rPr>
          <w:rFonts w:cs="Arial"/>
          <w:b/>
          <w:bCs/>
          <w:sz w:val="24"/>
        </w:rPr>
        <w:t>20</w:t>
      </w:r>
      <w:r w:rsidR="006272B4" w:rsidRPr="00C956D3">
        <w:rPr>
          <w:rFonts w:cs="Arial"/>
          <w:b/>
          <w:bCs/>
          <w:sz w:val="24"/>
        </w:rPr>
        <w:t xml:space="preserve"> May 2021</w:t>
      </w:r>
    </w:p>
    <w:p w14:paraId="1BD3B4EB" w14:textId="77777777" w:rsidR="00E063C6" w:rsidRPr="007C174F" w:rsidRDefault="00E063C6" w:rsidP="00442E6A">
      <w:pPr>
        <w:spacing w:before="120" w:after="120"/>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0D7D85BE" w14:textId="77777777" w:rsidR="00E063C6" w:rsidRPr="007C174F" w:rsidRDefault="0037520F" w:rsidP="00442E6A">
      <w:pPr>
        <w:spacing w:before="120" w:after="120"/>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20"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145B3DAA" w14:textId="77777777" w:rsidR="00E063C6" w:rsidRPr="007C174F" w:rsidRDefault="00351B07" w:rsidP="00442E6A">
      <w:pPr>
        <w:spacing w:before="240" w:after="240"/>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7FC39125" w14:textId="77777777" w:rsidR="00E203C2" w:rsidRPr="007C174F" w:rsidRDefault="00E063C6" w:rsidP="00442E6A">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442E6A">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442E6A">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442E6A">
      <w:pPr>
        <w:tabs>
          <w:tab w:val="left" w:pos="4536"/>
        </w:tabs>
        <w:rPr>
          <w:sz w:val="20"/>
          <w:szCs w:val="20"/>
        </w:rPr>
      </w:pPr>
      <w:r w:rsidRPr="007C174F">
        <w:rPr>
          <w:sz w:val="20"/>
          <w:szCs w:val="20"/>
        </w:rPr>
        <w:lastRenderedPageBreak/>
        <w:t>AUSTRALIA</w:t>
      </w:r>
      <w:r w:rsidRPr="007C174F">
        <w:rPr>
          <w:sz w:val="20"/>
          <w:szCs w:val="20"/>
        </w:rPr>
        <w:tab/>
      </w:r>
      <w:r w:rsidRPr="007C174F">
        <w:rPr>
          <w:sz w:val="20"/>
          <w:szCs w:val="20"/>
        </w:rPr>
        <w:tab/>
        <w:t>NEW ZEALAND</w:t>
      </w:r>
    </w:p>
    <w:p w14:paraId="42A81710" w14:textId="77777777" w:rsidR="00413CA8" w:rsidRDefault="00E063C6" w:rsidP="00442E6A">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442E6A">
      <w:pPr>
        <w:tabs>
          <w:tab w:val="left" w:pos="4536"/>
        </w:tabs>
        <w:rPr>
          <w:rFonts w:cs="Arial"/>
          <w:bCs/>
          <w:color w:val="FF0000"/>
          <w:sz w:val="20"/>
          <w:szCs w:val="20"/>
        </w:rPr>
      </w:pPr>
    </w:p>
    <w:p w14:paraId="4A49B27D" w14:textId="77777777" w:rsidR="00413CA8" w:rsidRDefault="00413CA8" w:rsidP="00442E6A">
      <w:pPr>
        <w:spacing w:line="280" w:lineRule="exact"/>
        <w:rPr>
          <w:rFonts w:cs="Arial"/>
          <w:bCs/>
          <w:sz w:val="28"/>
          <w:szCs w:val="28"/>
        </w:rPr>
        <w:sectPr w:rsidR="00413CA8" w:rsidSect="00B9694C">
          <w:footerReference w:type="even" r:id="rId21"/>
          <w:footerReference w:type="default" r:id="rId22"/>
          <w:headerReference w:type="first" r:id="rId23"/>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28AB4689" w14:textId="2CBEE7C1" w:rsidR="00964644"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68868635" w:history="1">
        <w:r w:rsidR="00964644" w:rsidRPr="00715326">
          <w:rPr>
            <w:rStyle w:val="Hyperlink"/>
            <w:noProof/>
          </w:rPr>
          <w:t>Executive summary</w:t>
        </w:r>
        <w:r w:rsidR="00964644">
          <w:rPr>
            <w:noProof/>
            <w:webHidden/>
          </w:rPr>
          <w:tab/>
        </w:r>
        <w:r w:rsidR="00964644">
          <w:rPr>
            <w:noProof/>
            <w:webHidden/>
          </w:rPr>
          <w:fldChar w:fldCharType="begin"/>
        </w:r>
        <w:r w:rsidR="00964644">
          <w:rPr>
            <w:noProof/>
            <w:webHidden/>
          </w:rPr>
          <w:instrText xml:space="preserve"> PAGEREF _Toc68868635 \h </w:instrText>
        </w:r>
        <w:r w:rsidR="00964644">
          <w:rPr>
            <w:noProof/>
            <w:webHidden/>
          </w:rPr>
        </w:r>
        <w:r w:rsidR="00964644">
          <w:rPr>
            <w:noProof/>
            <w:webHidden/>
          </w:rPr>
          <w:fldChar w:fldCharType="separate"/>
        </w:r>
        <w:r w:rsidR="00502074">
          <w:rPr>
            <w:noProof/>
            <w:webHidden/>
          </w:rPr>
          <w:t>1</w:t>
        </w:r>
        <w:r w:rsidR="00964644">
          <w:rPr>
            <w:noProof/>
            <w:webHidden/>
          </w:rPr>
          <w:fldChar w:fldCharType="end"/>
        </w:r>
      </w:hyperlink>
    </w:p>
    <w:p w14:paraId="4DBDB3A9" w14:textId="139525A8" w:rsidR="00964644" w:rsidRDefault="00502074">
      <w:pPr>
        <w:pStyle w:val="TOC1"/>
        <w:tabs>
          <w:tab w:val="left" w:pos="440"/>
          <w:tab w:val="right" w:leader="dot" w:pos="9060"/>
        </w:tabs>
        <w:rPr>
          <w:rFonts w:eastAsiaTheme="minorEastAsia" w:cstheme="minorBidi"/>
          <w:b w:val="0"/>
          <w:bCs w:val="0"/>
          <w:caps w:val="0"/>
          <w:noProof/>
          <w:sz w:val="22"/>
          <w:szCs w:val="22"/>
          <w:lang w:eastAsia="en-GB" w:bidi="ar-SA"/>
        </w:rPr>
      </w:pPr>
      <w:hyperlink w:anchor="_Toc68868636" w:history="1">
        <w:r w:rsidR="00964644" w:rsidRPr="00715326">
          <w:rPr>
            <w:rStyle w:val="Hyperlink"/>
            <w:noProof/>
          </w:rPr>
          <w:t>1</w:t>
        </w:r>
        <w:r w:rsidR="00964644">
          <w:rPr>
            <w:rFonts w:eastAsiaTheme="minorEastAsia" w:cstheme="minorBidi"/>
            <w:b w:val="0"/>
            <w:bCs w:val="0"/>
            <w:caps w:val="0"/>
            <w:noProof/>
            <w:sz w:val="22"/>
            <w:szCs w:val="22"/>
            <w:lang w:eastAsia="en-GB" w:bidi="ar-SA"/>
          </w:rPr>
          <w:tab/>
        </w:r>
        <w:r w:rsidR="00964644" w:rsidRPr="00715326">
          <w:rPr>
            <w:rStyle w:val="Hyperlink"/>
            <w:noProof/>
          </w:rPr>
          <w:t>Introduction</w:t>
        </w:r>
        <w:r w:rsidR="00964644">
          <w:rPr>
            <w:noProof/>
            <w:webHidden/>
          </w:rPr>
          <w:tab/>
        </w:r>
        <w:r w:rsidR="00964644">
          <w:rPr>
            <w:noProof/>
            <w:webHidden/>
          </w:rPr>
          <w:fldChar w:fldCharType="begin"/>
        </w:r>
        <w:r w:rsidR="00964644">
          <w:rPr>
            <w:noProof/>
            <w:webHidden/>
          </w:rPr>
          <w:instrText xml:space="preserve"> PAGEREF _Toc68868636 \h </w:instrText>
        </w:r>
        <w:r w:rsidR="00964644">
          <w:rPr>
            <w:noProof/>
            <w:webHidden/>
          </w:rPr>
        </w:r>
        <w:r w:rsidR="00964644">
          <w:rPr>
            <w:noProof/>
            <w:webHidden/>
          </w:rPr>
          <w:fldChar w:fldCharType="separate"/>
        </w:r>
        <w:r>
          <w:rPr>
            <w:noProof/>
            <w:webHidden/>
          </w:rPr>
          <w:t>2</w:t>
        </w:r>
        <w:r w:rsidR="00964644">
          <w:rPr>
            <w:noProof/>
            <w:webHidden/>
          </w:rPr>
          <w:fldChar w:fldCharType="end"/>
        </w:r>
      </w:hyperlink>
    </w:p>
    <w:p w14:paraId="01A23596" w14:textId="3233EFDE"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37" w:history="1">
        <w:r w:rsidR="00964644" w:rsidRPr="00715326">
          <w:rPr>
            <w:rStyle w:val="Hyperlink"/>
            <w:noProof/>
          </w:rPr>
          <w:t>1.1</w:t>
        </w:r>
        <w:r w:rsidR="00964644">
          <w:rPr>
            <w:rFonts w:eastAsiaTheme="minorEastAsia" w:cstheme="minorBidi"/>
            <w:smallCaps w:val="0"/>
            <w:noProof/>
            <w:sz w:val="22"/>
            <w:szCs w:val="22"/>
            <w:lang w:eastAsia="en-GB" w:bidi="ar-SA"/>
          </w:rPr>
          <w:tab/>
        </w:r>
        <w:r w:rsidR="00964644" w:rsidRPr="00715326">
          <w:rPr>
            <w:rStyle w:val="Hyperlink"/>
            <w:noProof/>
          </w:rPr>
          <w:t>The Applicant</w:t>
        </w:r>
        <w:r w:rsidR="00964644">
          <w:rPr>
            <w:noProof/>
            <w:webHidden/>
          </w:rPr>
          <w:tab/>
        </w:r>
        <w:r w:rsidR="00964644">
          <w:rPr>
            <w:noProof/>
            <w:webHidden/>
          </w:rPr>
          <w:fldChar w:fldCharType="begin"/>
        </w:r>
        <w:r w:rsidR="00964644">
          <w:rPr>
            <w:noProof/>
            <w:webHidden/>
          </w:rPr>
          <w:instrText xml:space="preserve"> PAGEREF _Toc68868637 \h </w:instrText>
        </w:r>
        <w:r w:rsidR="00964644">
          <w:rPr>
            <w:noProof/>
            <w:webHidden/>
          </w:rPr>
        </w:r>
        <w:r w:rsidR="00964644">
          <w:rPr>
            <w:noProof/>
            <w:webHidden/>
          </w:rPr>
          <w:fldChar w:fldCharType="separate"/>
        </w:r>
        <w:r>
          <w:rPr>
            <w:noProof/>
            <w:webHidden/>
          </w:rPr>
          <w:t>2</w:t>
        </w:r>
        <w:r w:rsidR="00964644">
          <w:rPr>
            <w:noProof/>
            <w:webHidden/>
          </w:rPr>
          <w:fldChar w:fldCharType="end"/>
        </w:r>
      </w:hyperlink>
    </w:p>
    <w:p w14:paraId="46EE7124" w14:textId="66FE3509"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38" w:history="1">
        <w:r w:rsidR="00964644" w:rsidRPr="00715326">
          <w:rPr>
            <w:rStyle w:val="Hyperlink"/>
            <w:noProof/>
          </w:rPr>
          <w:t>1.2</w:t>
        </w:r>
        <w:r w:rsidR="00964644">
          <w:rPr>
            <w:rFonts w:eastAsiaTheme="minorEastAsia" w:cstheme="minorBidi"/>
            <w:smallCaps w:val="0"/>
            <w:noProof/>
            <w:sz w:val="22"/>
            <w:szCs w:val="22"/>
            <w:lang w:eastAsia="en-GB" w:bidi="ar-SA"/>
          </w:rPr>
          <w:tab/>
        </w:r>
        <w:r w:rsidR="00964644" w:rsidRPr="00715326">
          <w:rPr>
            <w:rStyle w:val="Hyperlink"/>
            <w:noProof/>
          </w:rPr>
          <w:t>The Application</w:t>
        </w:r>
        <w:r w:rsidR="00964644">
          <w:rPr>
            <w:noProof/>
            <w:webHidden/>
          </w:rPr>
          <w:tab/>
        </w:r>
        <w:r w:rsidR="00964644">
          <w:rPr>
            <w:noProof/>
            <w:webHidden/>
          </w:rPr>
          <w:fldChar w:fldCharType="begin"/>
        </w:r>
        <w:r w:rsidR="00964644">
          <w:rPr>
            <w:noProof/>
            <w:webHidden/>
          </w:rPr>
          <w:instrText xml:space="preserve"> PAGEREF _Toc68868638 \h </w:instrText>
        </w:r>
        <w:r w:rsidR="00964644">
          <w:rPr>
            <w:noProof/>
            <w:webHidden/>
          </w:rPr>
        </w:r>
        <w:r w:rsidR="00964644">
          <w:rPr>
            <w:noProof/>
            <w:webHidden/>
          </w:rPr>
          <w:fldChar w:fldCharType="separate"/>
        </w:r>
        <w:r>
          <w:rPr>
            <w:noProof/>
            <w:webHidden/>
          </w:rPr>
          <w:t>2</w:t>
        </w:r>
        <w:r w:rsidR="00964644">
          <w:rPr>
            <w:noProof/>
            <w:webHidden/>
          </w:rPr>
          <w:fldChar w:fldCharType="end"/>
        </w:r>
      </w:hyperlink>
    </w:p>
    <w:p w14:paraId="44774E04" w14:textId="251BD2F4"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39" w:history="1">
        <w:r w:rsidR="00964644" w:rsidRPr="00715326">
          <w:rPr>
            <w:rStyle w:val="Hyperlink"/>
            <w:noProof/>
          </w:rPr>
          <w:t>1.3</w:t>
        </w:r>
        <w:r w:rsidR="00964644">
          <w:rPr>
            <w:rFonts w:eastAsiaTheme="minorEastAsia" w:cstheme="minorBidi"/>
            <w:smallCaps w:val="0"/>
            <w:noProof/>
            <w:sz w:val="22"/>
            <w:szCs w:val="22"/>
            <w:lang w:eastAsia="en-GB" w:bidi="ar-SA"/>
          </w:rPr>
          <w:tab/>
        </w:r>
        <w:r w:rsidR="00964644" w:rsidRPr="00715326">
          <w:rPr>
            <w:rStyle w:val="Hyperlink"/>
            <w:noProof/>
          </w:rPr>
          <w:t>The current standard</w:t>
        </w:r>
        <w:r w:rsidR="00964644">
          <w:rPr>
            <w:noProof/>
            <w:webHidden/>
          </w:rPr>
          <w:tab/>
        </w:r>
        <w:r w:rsidR="00964644">
          <w:rPr>
            <w:noProof/>
            <w:webHidden/>
          </w:rPr>
          <w:fldChar w:fldCharType="begin"/>
        </w:r>
        <w:r w:rsidR="00964644">
          <w:rPr>
            <w:noProof/>
            <w:webHidden/>
          </w:rPr>
          <w:instrText xml:space="preserve"> PAGEREF _Toc68868639 \h </w:instrText>
        </w:r>
        <w:r w:rsidR="00964644">
          <w:rPr>
            <w:noProof/>
            <w:webHidden/>
          </w:rPr>
        </w:r>
        <w:r w:rsidR="00964644">
          <w:rPr>
            <w:noProof/>
            <w:webHidden/>
          </w:rPr>
          <w:fldChar w:fldCharType="separate"/>
        </w:r>
        <w:r>
          <w:rPr>
            <w:noProof/>
            <w:webHidden/>
          </w:rPr>
          <w:t>2</w:t>
        </w:r>
        <w:r w:rsidR="00964644">
          <w:rPr>
            <w:noProof/>
            <w:webHidden/>
          </w:rPr>
          <w:fldChar w:fldCharType="end"/>
        </w:r>
      </w:hyperlink>
    </w:p>
    <w:p w14:paraId="2FF8CFE3" w14:textId="273E8315" w:rsidR="00964644" w:rsidRDefault="00502074">
      <w:pPr>
        <w:pStyle w:val="TOC3"/>
        <w:rPr>
          <w:rFonts w:eastAsiaTheme="minorEastAsia" w:cstheme="minorBidi"/>
          <w:i w:val="0"/>
          <w:iCs w:val="0"/>
          <w:noProof/>
          <w:sz w:val="22"/>
          <w:szCs w:val="22"/>
          <w:lang w:eastAsia="en-GB" w:bidi="ar-SA"/>
        </w:rPr>
      </w:pPr>
      <w:hyperlink w:anchor="_Toc68868640" w:history="1">
        <w:r w:rsidR="00964644" w:rsidRPr="00715326">
          <w:rPr>
            <w:rStyle w:val="Hyperlink"/>
            <w:noProof/>
          </w:rPr>
          <w:t>1.3.1 Australia and New Zealand</w:t>
        </w:r>
        <w:r w:rsidR="00964644">
          <w:rPr>
            <w:noProof/>
            <w:webHidden/>
          </w:rPr>
          <w:tab/>
        </w:r>
        <w:r w:rsidR="00964644">
          <w:rPr>
            <w:noProof/>
            <w:webHidden/>
          </w:rPr>
          <w:fldChar w:fldCharType="begin"/>
        </w:r>
        <w:r w:rsidR="00964644">
          <w:rPr>
            <w:noProof/>
            <w:webHidden/>
          </w:rPr>
          <w:instrText xml:space="preserve"> PAGEREF _Toc68868640 \h </w:instrText>
        </w:r>
        <w:r w:rsidR="00964644">
          <w:rPr>
            <w:noProof/>
            <w:webHidden/>
          </w:rPr>
        </w:r>
        <w:r w:rsidR="00964644">
          <w:rPr>
            <w:noProof/>
            <w:webHidden/>
          </w:rPr>
          <w:fldChar w:fldCharType="separate"/>
        </w:r>
        <w:r>
          <w:rPr>
            <w:noProof/>
            <w:webHidden/>
          </w:rPr>
          <w:t>2</w:t>
        </w:r>
        <w:r w:rsidR="00964644">
          <w:rPr>
            <w:noProof/>
            <w:webHidden/>
          </w:rPr>
          <w:fldChar w:fldCharType="end"/>
        </w:r>
      </w:hyperlink>
    </w:p>
    <w:p w14:paraId="774C0889" w14:textId="7E55E7A8" w:rsidR="00964644" w:rsidRDefault="00502074">
      <w:pPr>
        <w:pStyle w:val="TOC3"/>
        <w:rPr>
          <w:rFonts w:eastAsiaTheme="minorEastAsia" w:cstheme="minorBidi"/>
          <w:i w:val="0"/>
          <w:iCs w:val="0"/>
          <w:noProof/>
          <w:sz w:val="22"/>
          <w:szCs w:val="22"/>
          <w:lang w:eastAsia="en-GB" w:bidi="ar-SA"/>
        </w:rPr>
      </w:pPr>
      <w:hyperlink w:anchor="_Toc68868641" w:history="1">
        <w:r w:rsidR="00964644" w:rsidRPr="00715326">
          <w:rPr>
            <w:rStyle w:val="Hyperlink"/>
            <w:noProof/>
          </w:rPr>
          <w:t>1.3.2 International Standards</w:t>
        </w:r>
        <w:r w:rsidR="00964644">
          <w:rPr>
            <w:noProof/>
            <w:webHidden/>
          </w:rPr>
          <w:tab/>
        </w:r>
        <w:r w:rsidR="00964644">
          <w:rPr>
            <w:noProof/>
            <w:webHidden/>
          </w:rPr>
          <w:fldChar w:fldCharType="begin"/>
        </w:r>
        <w:r w:rsidR="00964644">
          <w:rPr>
            <w:noProof/>
            <w:webHidden/>
          </w:rPr>
          <w:instrText xml:space="preserve"> PAGEREF _Toc68868641 \h </w:instrText>
        </w:r>
        <w:r w:rsidR="00964644">
          <w:rPr>
            <w:noProof/>
            <w:webHidden/>
          </w:rPr>
        </w:r>
        <w:r w:rsidR="00964644">
          <w:rPr>
            <w:noProof/>
            <w:webHidden/>
          </w:rPr>
          <w:fldChar w:fldCharType="separate"/>
        </w:r>
        <w:r>
          <w:rPr>
            <w:noProof/>
            <w:webHidden/>
          </w:rPr>
          <w:t>3</w:t>
        </w:r>
        <w:r w:rsidR="00964644">
          <w:rPr>
            <w:noProof/>
            <w:webHidden/>
          </w:rPr>
          <w:fldChar w:fldCharType="end"/>
        </w:r>
      </w:hyperlink>
    </w:p>
    <w:p w14:paraId="3AF05E24" w14:textId="19829D68"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42" w:history="1">
        <w:r w:rsidR="00964644" w:rsidRPr="00715326">
          <w:rPr>
            <w:rStyle w:val="Hyperlink"/>
            <w:noProof/>
          </w:rPr>
          <w:t>1.4</w:t>
        </w:r>
        <w:r w:rsidR="00964644">
          <w:rPr>
            <w:rFonts w:eastAsiaTheme="minorEastAsia" w:cstheme="minorBidi"/>
            <w:smallCaps w:val="0"/>
            <w:noProof/>
            <w:sz w:val="22"/>
            <w:szCs w:val="22"/>
            <w:lang w:eastAsia="en-GB" w:bidi="ar-SA"/>
          </w:rPr>
          <w:tab/>
        </w:r>
        <w:r w:rsidR="00964644" w:rsidRPr="00715326">
          <w:rPr>
            <w:rStyle w:val="Hyperlink"/>
            <w:noProof/>
          </w:rPr>
          <w:t>Reasons for accepting Application</w:t>
        </w:r>
        <w:r w:rsidR="00964644">
          <w:rPr>
            <w:noProof/>
            <w:webHidden/>
          </w:rPr>
          <w:tab/>
        </w:r>
        <w:r w:rsidR="00964644">
          <w:rPr>
            <w:noProof/>
            <w:webHidden/>
          </w:rPr>
          <w:fldChar w:fldCharType="begin"/>
        </w:r>
        <w:r w:rsidR="00964644">
          <w:rPr>
            <w:noProof/>
            <w:webHidden/>
          </w:rPr>
          <w:instrText xml:space="preserve"> PAGEREF _Toc68868642 \h </w:instrText>
        </w:r>
        <w:r w:rsidR="00964644">
          <w:rPr>
            <w:noProof/>
            <w:webHidden/>
          </w:rPr>
        </w:r>
        <w:r w:rsidR="00964644">
          <w:rPr>
            <w:noProof/>
            <w:webHidden/>
          </w:rPr>
          <w:fldChar w:fldCharType="separate"/>
        </w:r>
        <w:r>
          <w:rPr>
            <w:noProof/>
            <w:webHidden/>
          </w:rPr>
          <w:t>4</w:t>
        </w:r>
        <w:r w:rsidR="00964644">
          <w:rPr>
            <w:noProof/>
            <w:webHidden/>
          </w:rPr>
          <w:fldChar w:fldCharType="end"/>
        </w:r>
      </w:hyperlink>
    </w:p>
    <w:p w14:paraId="325853FC" w14:textId="3EE32893"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43" w:history="1">
        <w:r w:rsidR="00964644" w:rsidRPr="00715326">
          <w:rPr>
            <w:rStyle w:val="Hyperlink"/>
            <w:noProof/>
          </w:rPr>
          <w:t>1.5</w:t>
        </w:r>
        <w:r w:rsidR="00964644">
          <w:rPr>
            <w:rFonts w:eastAsiaTheme="minorEastAsia" w:cstheme="minorBidi"/>
            <w:smallCaps w:val="0"/>
            <w:noProof/>
            <w:sz w:val="22"/>
            <w:szCs w:val="22"/>
            <w:lang w:eastAsia="en-GB" w:bidi="ar-SA"/>
          </w:rPr>
          <w:tab/>
        </w:r>
        <w:r w:rsidR="00964644" w:rsidRPr="00715326">
          <w:rPr>
            <w:rStyle w:val="Hyperlink"/>
            <w:noProof/>
          </w:rPr>
          <w:t>Procedure for assessment</w:t>
        </w:r>
        <w:r w:rsidR="00964644">
          <w:rPr>
            <w:noProof/>
            <w:webHidden/>
          </w:rPr>
          <w:tab/>
        </w:r>
        <w:r w:rsidR="00964644">
          <w:rPr>
            <w:noProof/>
            <w:webHidden/>
          </w:rPr>
          <w:fldChar w:fldCharType="begin"/>
        </w:r>
        <w:r w:rsidR="00964644">
          <w:rPr>
            <w:noProof/>
            <w:webHidden/>
          </w:rPr>
          <w:instrText xml:space="preserve"> PAGEREF _Toc68868643 \h </w:instrText>
        </w:r>
        <w:r w:rsidR="00964644">
          <w:rPr>
            <w:noProof/>
            <w:webHidden/>
          </w:rPr>
        </w:r>
        <w:r w:rsidR="00964644">
          <w:rPr>
            <w:noProof/>
            <w:webHidden/>
          </w:rPr>
          <w:fldChar w:fldCharType="separate"/>
        </w:r>
        <w:r>
          <w:rPr>
            <w:noProof/>
            <w:webHidden/>
          </w:rPr>
          <w:t>4</w:t>
        </w:r>
        <w:r w:rsidR="00964644">
          <w:rPr>
            <w:noProof/>
            <w:webHidden/>
          </w:rPr>
          <w:fldChar w:fldCharType="end"/>
        </w:r>
      </w:hyperlink>
    </w:p>
    <w:p w14:paraId="019ABA46" w14:textId="0D97C8E7" w:rsidR="00964644" w:rsidRDefault="00502074">
      <w:pPr>
        <w:pStyle w:val="TOC1"/>
        <w:tabs>
          <w:tab w:val="left" w:pos="440"/>
          <w:tab w:val="right" w:leader="dot" w:pos="9060"/>
        </w:tabs>
        <w:rPr>
          <w:rFonts w:eastAsiaTheme="minorEastAsia" w:cstheme="minorBidi"/>
          <w:b w:val="0"/>
          <w:bCs w:val="0"/>
          <w:caps w:val="0"/>
          <w:noProof/>
          <w:sz w:val="22"/>
          <w:szCs w:val="22"/>
          <w:lang w:eastAsia="en-GB" w:bidi="ar-SA"/>
        </w:rPr>
      </w:pPr>
      <w:hyperlink w:anchor="_Toc68868644" w:history="1">
        <w:r w:rsidR="00964644" w:rsidRPr="00715326">
          <w:rPr>
            <w:rStyle w:val="Hyperlink"/>
            <w:noProof/>
          </w:rPr>
          <w:t>2</w:t>
        </w:r>
        <w:r w:rsidR="00964644">
          <w:rPr>
            <w:rFonts w:eastAsiaTheme="minorEastAsia" w:cstheme="minorBidi"/>
            <w:b w:val="0"/>
            <w:bCs w:val="0"/>
            <w:caps w:val="0"/>
            <w:noProof/>
            <w:sz w:val="22"/>
            <w:szCs w:val="22"/>
            <w:lang w:eastAsia="en-GB" w:bidi="ar-SA"/>
          </w:rPr>
          <w:tab/>
        </w:r>
        <w:r w:rsidR="00964644" w:rsidRPr="00715326">
          <w:rPr>
            <w:rStyle w:val="Hyperlink"/>
            <w:noProof/>
          </w:rPr>
          <w:t>Summary of Assessment</w:t>
        </w:r>
        <w:r w:rsidR="00964644">
          <w:rPr>
            <w:noProof/>
            <w:webHidden/>
          </w:rPr>
          <w:tab/>
        </w:r>
        <w:r w:rsidR="00964644">
          <w:rPr>
            <w:noProof/>
            <w:webHidden/>
          </w:rPr>
          <w:fldChar w:fldCharType="begin"/>
        </w:r>
        <w:r w:rsidR="00964644">
          <w:rPr>
            <w:noProof/>
            <w:webHidden/>
          </w:rPr>
          <w:instrText xml:space="preserve"> PAGEREF _Toc68868644 \h </w:instrText>
        </w:r>
        <w:r w:rsidR="00964644">
          <w:rPr>
            <w:noProof/>
            <w:webHidden/>
          </w:rPr>
        </w:r>
        <w:r w:rsidR="00964644">
          <w:rPr>
            <w:noProof/>
            <w:webHidden/>
          </w:rPr>
          <w:fldChar w:fldCharType="separate"/>
        </w:r>
        <w:r>
          <w:rPr>
            <w:noProof/>
            <w:webHidden/>
          </w:rPr>
          <w:t>4</w:t>
        </w:r>
        <w:r w:rsidR="00964644">
          <w:rPr>
            <w:noProof/>
            <w:webHidden/>
          </w:rPr>
          <w:fldChar w:fldCharType="end"/>
        </w:r>
      </w:hyperlink>
    </w:p>
    <w:p w14:paraId="27E8CD19" w14:textId="73F58B8F"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45" w:history="1">
        <w:r w:rsidR="00964644" w:rsidRPr="00715326">
          <w:rPr>
            <w:rStyle w:val="Hyperlink"/>
            <w:noProof/>
          </w:rPr>
          <w:t>2.1</w:t>
        </w:r>
        <w:r w:rsidR="00964644">
          <w:rPr>
            <w:rFonts w:eastAsiaTheme="minorEastAsia" w:cstheme="minorBidi"/>
            <w:smallCaps w:val="0"/>
            <w:noProof/>
            <w:sz w:val="22"/>
            <w:szCs w:val="22"/>
            <w:lang w:eastAsia="en-GB" w:bidi="ar-SA"/>
          </w:rPr>
          <w:tab/>
        </w:r>
        <w:r w:rsidR="00964644" w:rsidRPr="00715326">
          <w:rPr>
            <w:rStyle w:val="Hyperlink"/>
            <w:noProof/>
          </w:rPr>
          <w:t>Risk assessment</w:t>
        </w:r>
        <w:r w:rsidR="00964644">
          <w:rPr>
            <w:noProof/>
            <w:webHidden/>
          </w:rPr>
          <w:tab/>
        </w:r>
        <w:r w:rsidR="00964644">
          <w:rPr>
            <w:noProof/>
            <w:webHidden/>
          </w:rPr>
          <w:fldChar w:fldCharType="begin"/>
        </w:r>
        <w:r w:rsidR="00964644">
          <w:rPr>
            <w:noProof/>
            <w:webHidden/>
          </w:rPr>
          <w:instrText xml:space="preserve"> PAGEREF _Toc68868645 \h </w:instrText>
        </w:r>
        <w:r w:rsidR="00964644">
          <w:rPr>
            <w:noProof/>
            <w:webHidden/>
          </w:rPr>
        </w:r>
        <w:r w:rsidR="00964644">
          <w:rPr>
            <w:noProof/>
            <w:webHidden/>
          </w:rPr>
          <w:fldChar w:fldCharType="separate"/>
        </w:r>
        <w:r>
          <w:rPr>
            <w:noProof/>
            <w:webHidden/>
          </w:rPr>
          <w:t>4</w:t>
        </w:r>
        <w:r w:rsidR="00964644">
          <w:rPr>
            <w:noProof/>
            <w:webHidden/>
          </w:rPr>
          <w:fldChar w:fldCharType="end"/>
        </w:r>
      </w:hyperlink>
    </w:p>
    <w:p w14:paraId="2910FE5E" w14:textId="1A40AF21"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46" w:history="1">
        <w:r w:rsidR="00964644" w:rsidRPr="00715326">
          <w:rPr>
            <w:rStyle w:val="Hyperlink"/>
            <w:noProof/>
          </w:rPr>
          <w:t>2.2</w:t>
        </w:r>
        <w:r w:rsidR="00964644">
          <w:rPr>
            <w:rFonts w:eastAsiaTheme="minorEastAsia" w:cstheme="minorBidi"/>
            <w:smallCaps w:val="0"/>
            <w:noProof/>
            <w:sz w:val="22"/>
            <w:szCs w:val="22"/>
            <w:lang w:eastAsia="en-GB" w:bidi="ar-SA"/>
          </w:rPr>
          <w:tab/>
        </w:r>
        <w:r w:rsidR="00964644" w:rsidRPr="00715326">
          <w:rPr>
            <w:rStyle w:val="Hyperlink"/>
            <w:noProof/>
          </w:rPr>
          <w:t>Risk management</w:t>
        </w:r>
        <w:r w:rsidR="00964644">
          <w:rPr>
            <w:noProof/>
            <w:webHidden/>
          </w:rPr>
          <w:tab/>
        </w:r>
        <w:r w:rsidR="00964644">
          <w:rPr>
            <w:noProof/>
            <w:webHidden/>
          </w:rPr>
          <w:fldChar w:fldCharType="begin"/>
        </w:r>
        <w:r w:rsidR="00964644">
          <w:rPr>
            <w:noProof/>
            <w:webHidden/>
          </w:rPr>
          <w:instrText xml:space="preserve"> PAGEREF _Toc68868646 \h </w:instrText>
        </w:r>
        <w:r w:rsidR="00964644">
          <w:rPr>
            <w:noProof/>
            <w:webHidden/>
          </w:rPr>
        </w:r>
        <w:r w:rsidR="00964644">
          <w:rPr>
            <w:noProof/>
            <w:webHidden/>
          </w:rPr>
          <w:fldChar w:fldCharType="separate"/>
        </w:r>
        <w:r>
          <w:rPr>
            <w:noProof/>
            <w:webHidden/>
          </w:rPr>
          <w:t>5</w:t>
        </w:r>
        <w:r w:rsidR="00964644">
          <w:rPr>
            <w:noProof/>
            <w:webHidden/>
          </w:rPr>
          <w:fldChar w:fldCharType="end"/>
        </w:r>
      </w:hyperlink>
    </w:p>
    <w:p w14:paraId="0BFB29AA" w14:textId="7F1E9218" w:rsidR="00964644" w:rsidRDefault="00502074">
      <w:pPr>
        <w:pStyle w:val="TOC3"/>
        <w:rPr>
          <w:rFonts w:eastAsiaTheme="minorEastAsia" w:cstheme="minorBidi"/>
          <w:i w:val="0"/>
          <w:iCs w:val="0"/>
          <w:noProof/>
          <w:sz w:val="22"/>
          <w:szCs w:val="22"/>
          <w:lang w:eastAsia="en-GB" w:bidi="ar-SA"/>
        </w:rPr>
      </w:pPr>
      <w:hyperlink w:anchor="_Toc68868647" w:history="1">
        <w:r w:rsidR="00964644" w:rsidRPr="00715326">
          <w:rPr>
            <w:rStyle w:val="Hyperlink"/>
            <w:noProof/>
          </w:rPr>
          <w:t xml:space="preserve">2.2.1 </w:t>
        </w:r>
        <w:r w:rsidR="00964644">
          <w:rPr>
            <w:rFonts w:eastAsiaTheme="minorEastAsia" w:cstheme="minorBidi"/>
            <w:i w:val="0"/>
            <w:iCs w:val="0"/>
            <w:noProof/>
            <w:sz w:val="22"/>
            <w:szCs w:val="22"/>
            <w:lang w:eastAsia="en-GB" w:bidi="ar-SA"/>
          </w:rPr>
          <w:tab/>
        </w:r>
        <w:r w:rsidR="00964644" w:rsidRPr="00715326">
          <w:rPr>
            <w:rStyle w:val="Hyperlink"/>
            <w:noProof/>
          </w:rPr>
          <w:t>Background to overarching risk management strategies in Standard 2.9.5</w:t>
        </w:r>
        <w:r w:rsidR="00964644">
          <w:rPr>
            <w:noProof/>
            <w:webHidden/>
          </w:rPr>
          <w:tab/>
        </w:r>
        <w:r w:rsidR="00964644">
          <w:rPr>
            <w:noProof/>
            <w:webHidden/>
          </w:rPr>
          <w:fldChar w:fldCharType="begin"/>
        </w:r>
        <w:r w:rsidR="00964644">
          <w:rPr>
            <w:noProof/>
            <w:webHidden/>
          </w:rPr>
          <w:instrText xml:space="preserve"> PAGEREF _Toc68868647 \h </w:instrText>
        </w:r>
        <w:r w:rsidR="00964644">
          <w:rPr>
            <w:noProof/>
            <w:webHidden/>
          </w:rPr>
        </w:r>
        <w:r w:rsidR="00964644">
          <w:rPr>
            <w:noProof/>
            <w:webHidden/>
          </w:rPr>
          <w:fldChar w:fldCharType="separate"/>
        </w:r>
        <w:r>
          <w:rPr>
            <w:noProof/>
            <w:webHidden/>
          </w:rPr>
          <w:t>6</w:t>
        </w:r>
        <w:r w:rsidR="00964644">
          <w:rPr>
            <w:noProof/>
            <w:webHidden/>
          </w:rPr>
          <w:fldChar w:fldCharType="end"/>
        </w:r>
      </w:hyperlink>
    </w:p>
    <w:p w14:paraId="3D7A21DB" w14:textId="379A5200" w:rsidR="00964644" w:rsidRDefault="00502074">
      <w:pPr>
        <w:pStyle w:val="TOC3"/>
        <w:rPr>
          <w:rFonts w:eastAsiaTheme="minorEastAsia" w:cstheme="minorBidi"/>
          <w:i w:val="0"/>
          <w:iCs w:val="0"/>
          <w:noProof/>
          <w:sz w:val="22"/>
          <w:szCs w:val="22"/>
          <w:lang w:eastAsia="en-GB" w:bidi="ar-SA"/>
        </w:rPr>
      </w:pPr>
      <w:hyperlink w:anchor="_Toc68868648" w:history="1">
        <w:r w:rsidR="00964644" w:rsidRPr="00715326">
          <w:rPr>
            <w:rStyle w:val="Hyperlink"/>
            <w:noProof/>
          </w:rPr>
          <w:t xml:space="preserve">2.2.2 </w:t>
        </w:r>
        <w:r w:rsidR="00964644">
          <w:rPr>
            <w:rFonts w:eastAsiaTheme="minorEastAsia" w:cstheme="minorBidi"/>
            <w:i w:val="0"/>
            <w:iCs w:val="0"/>
            <w:noProof/>
            <w:sz w:val="22"/>
            <w:szCs w:val="22"/>
            <w:lang w:eastAsia="en-GB" w:bidi="ar-SA"/>
          </w:rPr>
          <w:tab/>
        </w:r>
        <w:r w:rsidR="00964644" w:rsidRPr="00715326">
          <w:rPr>
            <w:rStyle w:val="Hyperlink"/>
            <w:noProof/>
          </w:rPr>
          <w:t>Required permission for substances that may be added to FSMPs</w:t>
        </w:r>
        <w:r w:rsidR="00964644">
          <w:rPr>
            <w:noProof/>
            <w:webHidden/>
          </w:rPr>
          <w:tab/>
        </w:r>
        <w:r w:rsidR="00964644">
          <w:rPr>
            <w:noProof/>
            <w:webHidden/>
          </w:rPr>
          <w:fldChar w:fldCharType="begin"/>
        </w:r>
        <w:r w:rsidR="00964644">
          <w:rPr>
            <w:noProof/>
            <w:webHidden/>
          </w:rPr>
          <w:instrText xml:space="preserve"> PAGEREF _Toc68868648 \h </w:instrText>
        </w:r>
        <w:r w:rsidR="00964644">
          <w:rPr>
            <w:noProof/>
            <w:webHidden/>
          </w:rPr>
        </w:r>
        <w:r w:rsidR="00964644">
          <w:rPr>
            <w:noProof/>
            <w:webHidden/>
          </w:rPr>
          <w:fldChar w:fldCharType="separate"/>
        </w:r>
        <w:r>
          <w:rPr>
            <w:noProof/>
            <w:webHidden/>
          </w:rPr>
          <w:t>6</w:t>
        </w:r>
        <w:r w:rsidR="00964644">
          <w:rPr>
            <w:noProof/>
            <w:webHidden/>
          </w:rPr>
          <w:fldChar w:fldCharType="end"/>
        </w:r>
      </w:hyperlink>
    </w:p>
    <w:p w14:paraId="1171AE82" w14:textId="19247EEA" w:rsidR="00964644" w:rsidRDefault="00502074">
      <w:pPr>
        <w:pStyle w:val="TOC3"/>
        <w:rPr>
          <w:rFonts w:eastAsiaTheme="minorEastAsia" w:cstheme="minorBidi"/>
          <w:i w:val="0"/>
          <w:iCs w:val="0"/>
          <w:noProof/>
          <w:sz w:val="22"/>
          <w:szCs w:val="22"/>
          <w:lang w:eastAsia="en-GB" w:bidi="ar-SA"/>
        </w:rPr>
      </w:pPr>
      <w:hyperlink w:anchor="_Toc68868649" w:history="1">
        <w:r w:rsidR="00964644" w:rsidRPr="00715326">
          <w:rPr>
            <w:rStyle w:val="Hyperlink"/>
            <w:noProof/>
          </w:rPr>
          <w:t>2.2.3</w:t>
        </w:r>
        <w:r w:rsidR="00964644">
          <w:rPr>
            <w:rFonts w:eastAsiaTheme="minorEastAsia" w:cstheme="minorBidi"/>
            <w:i w:val="0"/>
            <w:iCs w:val="0"/>
            <w:noProof/>
            <w:sz w:val="22"/>
            <w:szCs w:val="22"/>
            <w:lang w:eastAsia="en-GB" w:bidi="ar-SA"/>
          </w:rPr>
          <w:tab/>
        </w:r>
        <w:r w:rsidR="00964644" w:rsidRPr="00715326">
          <w:rPr>
            <w:rStyle w:val="Hyperlink"/>
            <w:noProof/>
          </w:rPr>
          <w:t>Labelling requirements</w:t>
        </w:r>
        <w:r w:rsidR="00964644">
          <w:rPr>
            <w:noProof/>
            <w:webHidden/>
          </w:rPr>
          <w:tab/>
        </w:r>
        <w:r w:rsidR="00964644">
          <w:rPr>
            <w:noProof/>
            <w:webHidden/>
          </w:rPr>
          <w:fldChar w:fldCharType="begin"/>
        </w:r>
        <w:r w:rsidR="00964644">
          <w:rPr>
            <w:noProof/>
            <w:webHidden/>
          </w:rPr>
          <w:instrText xml:space="preserve"> PAGEREF _Toc68868649 \h </w:instrText>
        </w:r>
        <w:r w:rsidR="00964644">
          <w:rPr>
            <w:noProof/>
            <w:webHidden/>
          </w:rPr>
        </w:r>
        <w:r w:rsidR="00964644">
          <w:rPr>
            <w:noProof/>
            <w:webHidden/>
          </w:rPr>
          <w:fldChar w:fldCharType="separate"/>
        </w:r>
        <w:r>
          <w:rPr>
            <w:noProof/>
            <w:webHidden/>
          </w:rPr>
          <w:t>7</w:t>
        </w:r>
        <w:r w:rsidR="00964644">
          <w:rPr>
            <w:noProof/>
            <w:webHidden/>
          </w:rPr>
          <w:fldChar w:fldCharType="end"/>
        </w:r>
      </w:hyperlink>
    </w:p>
    <w:p w14:paraId="51406839" w14:textId="4358678E" w:rsidR="00964644" w:rsidRDefault="00502074">
      <w:pPr>
        <w:pStyle w:val="TOC3"/>
        <w:rPr>
          <w:rFonts w:eastAsiaTheme="minorEastAsia" w:cstheme="minorBidi"/>
          <w:i w:val="0"/>
          <w:iCs w:val="0"/>
          <w:noProof/>
          <w:sz w:val="22"/>
          <w:szCs w:val="22"/>
          <w:lang w:eastAsia="en-GB" w:bidi="ar-SA"/>
        </w:rPr>
      </w:pPr>
      <w:hyperlink w:anchor="_Toc68868650" w:history="1">
        <w:r w:rsidR="00964644" w:rsidRPr="00715326">
          <w:rPr>
            <w:rStyle w:val="Hyperlink"/>
            <w:noProof/>
          </w:rPr>
          <w:t xml:space="preserve">2.2.4 </w:t>
        </w:r>
        <w:r w:rsidR="00964644">
          <w:rPr>
            <w:rFonts w:eastAsiaTheme="minorEastAsia" w:cstheme="minorBidi"/>
            <w:i w:val="0"/>
            <w:iCs w:val="0"/>
            <w:noProof/>
            <w:sz w:val="22"/>
            <w:szCs w:val="22"/>
            <w:lang w:eastAsia="en-GB" w:bidi="ar-SA"/>
          </w:rPr>
          <w:tab/>
        </w:r>
        <w:r w:rsidR="00964644" w:rsidRPr="00715326">
          <w:rPr>
            <w:rStyle w:val="Hyperlink"/>
            <w:noProof/>
          </w:rPr>
          <w:t>Risk management conclusion</w:t>
        </w:r>
        <w:r w:rsidR="00964644">
          <w:rPr>
            <w:noProof/>
            <w:webHidden/>
          </w:rPr>
          <w:tab/>
        </w:r>
        <w:r w:rsidR="00964644">
          <w:rPr>
            <w:noProof/>
            <w:webHidden/>
          </w:rPr>
          <w:fldChar w:fldCharType="begin"/>
        </w:r>
        <w:r w:rsidR="00964644">
          <w:rPr>
            <w:noProof/>
            <w:webHidden/>
          </w:rPr>
          <w:instrText xml:space="preserve"> PAGEREF _Toc68868650 \h </w:instrText>
        </w:r>
        <w:r w:rsidR="00964644">
          <w:rPr>
            <w:noProof/>
            <w:webHidden/>
          </w:rPr>
        </w:r>
        <w:r w:rsidR="00964644">
          <w:rPr>
            <w:noProof/>
            <w:webHidden/>
          </w:rPr>
          <w:fldChar w:fldCharType="separate"/>
        </w:r>
        <w:r>
          <w:rPr>
            <w:noProof/>
            <w:webHidden/>
          </w:rPr>
          <w:t>7</w:t>
        </w:r>
        <w:r w:rsidR="00964644">
          <w:rPr>
            <w:noProof/>
            <w:webHidden/>
          </w:rPr>
          <w:fldChar w:fldCharType="end"/>
        </w:r>
      </w:hyperlink>
    </w:p>
    <w:p w14:paraId="2EEB38FC" w14:textId="04FCA1DA"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51" w:history="1">
        <w:r w:rsidR="00964644" w:rsidRPr="00715326">
          <w:rPr>
            <w:rStyle w:val="Hyperlink"/>
            <w:noProof/>
          </w:rPr>
          <w:t>2.3</w:t>
        </w:r>
        <w:r w:rsidR="00964644">
          <w:rPr>
            <w:rFonts w:eastAsiaTheme="minorEastAsia" w:cstheme="minorBidi"/>
            <w:smallCaps w:val="0"/>
            <w:noProof/>
            <w:sz w:val="22"/>
            <w:szCs w:val="22"/>
            <w:lang w:eastAsia="en-GB" w:bidi="ar-SA"/>
          </w:rPr>
          <w:tab/>
        </w:r>
        <w:r w:rsidR="00964644" w:rsidRPr="00715326">
          <w:rPr>
            <w:rStyle w:val="Hyperlink"/>
            <w:noProof/>
          </w:rPr>
          <w:t>Risk communication</w:t>
        </w:r>
        <w:r w:rsidR="00964644">
          <w:rPr>
            <w:noProof/>
            <w:webHidden/>
          </w:rPr>
          <w:tab/>
        </w:r>
        <w:r w:rsidR="00964644">
          <w:rPr>
            <w:noProof/>
            <w:webHidden/>
          </w:rPr>
          <w:fldChar w:fldCharType="begin"/>
        </w:r>
        <w:r w:rsidR="00964644">
          <w:rPr>
            <w:noProof/>
            <w:webHidden/>
          </w:rPr>
          <w:instrText xml:space="preserve"> PAGEREF _Toc68868651 \h </w:instrText>
        </w:r>
        <w:r w:rsidR="00964644">
          <w:rPr>
            <w:noProof/>
            <w:webHidden/>
          </w:rPr>
        </w:r>
        <w:r w:rsidR="00964644">
          <w:rPr>
            <w:noProof/>
            <w:webHidden/>
          </w:rPr>
          <w:fldChar w:fldCharType="separate"/>
        </w:r>
        <w:r>
          <w:rPr>
            <w:noProof/>
            <w:webHidden/>
          </w:rPr>
          <w:t>8</w:t>
        </w:r>
        <w:r w:rsidR="00964644">
          <w:rPr>
            <w:noProof/>
            <w:webHidden/>
          </w:rPr>
          <w:fldChar w:fldCharType="end"/>
        </w:r>
      </w:hyperlink>
    </w:p>
    <w:p w14:paraId="10F5F311" w14:textId="41B093F6" w:rsidR="00964644" w:rsidRDefault="00502074">
      <w:pPr>
        <w:pStyle w:val="TOC3"/>
        <w:rPr>
          <w:rFonts w:eastAsiaTheme="minorEastAsia" w:cstheme="minorBidi"/>
          <w:i w:val="0"/>
          <w:iCs w:val="0"/>
          <w:noProof/>
          <w:sz w:val="22"/>
          <w:szCs w:val="22"/>
          <w:lang w:eastAsia="en-GB" w:bidi="ar-SA"/>
        </w:rPr>
      </w:pPr>
      <w:hyperlink w:anchor="_Toc68868652" w:history="1">
        <w:r w:rsidR="00964644" w:rsidRPr="00715326">
          <w:rPr>
            <w:rStyle w:val="Hyperlink"/>
            <w:noProof/>
          </w:rPr>
          <w:t>2.3.1</w:t>
        </w:r>
        <w:r w:rsidR="00964644">
          <w:rPr>
            <w:rFonts w:eastAsiaTheme="minorEastAsia" w:cstheme="minorBidi"/>
            <w:i w:val="0"/>
            <w:iCs w:val="0"/>
            <w:noProof/>
            <w:sz w:val="22"/>
            <w:szCs w:val="22"/>
            <w:lang w:eastAsia="en-GB" w:bidi="ar-SA"/>
          </w:rPr>
          <w:tab/>
        </w:r>
        <w:r w:rsidR="00964644" w:rsidRPr="00715326">
          <w:rPr>
            <w:rStyle w:val="Hyperlink"/>
            <w:noProof/>
          </w:rPr>
          <w:t>Consultation</w:t>
        </w:r>
        <w:r w:rsidR="00964644">
          <w:rPr>
            <w:noProof/>
            <w:webHidden/>
          </w:rPr>
          <w:tab/>
        </w:r>
        <w:r w:rsidR="00964644">
          <w:rPr>
            <w:noProof/>
            <w:webHidden/>
          </w:rPr>
          <w:fldChar w:fldCharType="begin"/>
        </w:r>
        <w:r w:rsidR="00964644">
          <w:rPr>
            <w:noProof/>
            <w:webHidden/>
          </w:rPr>
          <w:instrText xml:space="preserve"> PAGEREF _Toc68868652 \h </w:instrText>
        </w:r>
        <w:r w:rsidR="00964644">
          <w:rPr>
            <w:noProof/>
            <w:webHidden/>
          </w:rPr>
        </w:r>
        <w:r w:rsidR="00964644">
          <w:rPr>
            <w:noProof/>
            <w:webHidden/>
          </w:rPr>
          <w:fldChar w:fldCharType="separate"/>
        </w:r>
        <w:r>
          <w:rPr>
            <w:noProof/>
            <w:webHidden/>
          </w:rPr>
          <w:t>8</w:t>
        </w:r>
        <w:r w:rsidR="00964644">
          <w:rPr>
            <w:noProof/>
            <w:webHidden/>
          </w:rPr>
          <w:fldChar w:fldCharType="end"/>
        </w:r>
      </w:hyperlink>
    </w:p>
    <w:p w14:paraId="467A8CA5" w14:textId="7850C1C1" w:rsidR="00964644" w:rsidRDefault="00502074">
      <w:pPr>
        <w:pStyle w:val="TOC3"/>
        <w:rPr>
          <w:rFonts w:eastAsiaTheme="minorEastAsia" w:cstheme="minorBidi"/>
          <w:i w:val="0"/>
          <w:iCs w:val="0"/>
          <w:noProof/>
          <w:sz w:val="22"/>
          <w:szCs w:val="22"/>
          <w:lang w:eastAsia="en-GB" w:bidi="ar-SA"/>
        </w:rPr>
      </w:pPr>
      <w:hyperlink w:anchor="_Toc68868653" w:history="1">
        <w:r w:rsidR="00964644" w:rsidRPr="00715326">
          <w:rPr>
            <w:rStyle w:val="Hyperlink"/>
            <w:noProof/>
          </w:rPr>
          <w:t>2.3.2</w:t>
        </w:r>
        <w:r w:rsidR="00964644">
          <w:rPr>
            <w:rFonts w:eastAsiaTheme="minorEastAsia" w:cstheme="minorBidi"/>
            <w:i w:val="0"/>
            <w:iCs w:val="0"/>
            <w:noProof/>
            <w:sz w:val="22"/>
            <w:szCs w:val="22"/>
            <w:lang w:eastAsia="en-GB" w:bidi="ar-SA"/>
          </w:rPr>
          <w:tab/>
        </w:r>
        <w:r w:rsidR="00964644" w:rsidRPr="00715326">
          <w:rPr>
            <w:rStyle w:val="Hyperlink"/>
            <w:noProof/>
          </w:rPr>
          <w:t>World Trade Organization (WTO)</w:t>
        </w:r>
        <w:r w:rsidR="00964644">
          <w:rPr>
            <w:noProof/>
            <w:webHidden/>
          </w:rPr>
          <w:tab/>
        </w:r>
        <w:r w:rsidR="00964644">
          <w:rPr>
            <w:noProof/>
            <w:webHidden/>
          </w:rPr>
          <w:fldChar w:fldCharType="begin"/>
        </w:r>
        <w:r w:rsidR="00964644">
          <w:rPr>
            <w:noProof/>
            <w:webHidden/>
          </w:rPr>
          <w:instrText xml:space="preserve"> PAGEREF _Toc68868653 \h </w:instrText>
        </w:r>
        <w:r w:rsidR="00964644">
          <w:rPr>
            <w:noProof/>
            <w:webHidden/>
          </w:rPr>
        </w:r>
        <w:r w:rsidR="00964644">
          <w:rPr>
            <w:noProof/>
            <w:webHidden/>
          </w:rPr>
          <w:fldChar w:fldCharType="separate"/>
        </w:r>
        <w:r>
          <w:rPr>
            <w:noProof/>
            <w:webHidden/>
          </w:rPr>
          <w:t>8</w:t>
        </w:r>
        <w:r w:rsidR="00964644">
          <w:rPr>
            <w:noProof/>
            <w:webHidden/>
          </w:rPr>
          <w:fldChar w:fldCharType="end"/>
        </w:r>
      </w:hyperlink>
    </w:p>
    <w:p w14:paraId="66727BFE" w14:textId="450713C7" w:rsidR="00964644" w:rsidRDefault="00502074">
      <w:pPr>
        <w:pStyle w:val="TOC2"/>
        <w:tabs>
          <w:tab w:val="left" w:pos="880"/>
          <w:tab w:val="right" w:leader="dot" w:pos="9060"/>
        </w:tabs>
        <w:rPr>
          <w:rFonts w:eastAsiaTheme="minorEastAsia" w:cstheme="minorBidi"/>
          <w:smallCaps w:val="0"/>
          <w:noProof/>
          <w:sz w:val="22"/>
          <w:szCs w:val="22"/>
          <w:lang w:eastAsia="en-GB" w:bidi="ar-SA"/>
        </w:rPr>
      </w:pPr>
      <w:hyperlink w:anchor="_Toc68868654" w:history="1">
        <w:r w:rsidR="00964644" w:rsidRPr="00715326">
          <w:rPr>
            <w:rStyle w:val="Hyperlink"/>
            <w:noProof/>
          </w:rPr>
          <w:t>2.4</w:t>
        </w:r>
        <w:r w:rsidR="00964644">
          <w:rPr>
            <w:rFonts w:eastAsiaTheme="minorEastAsia" w:cstheme="minorBidi"/>
            <w:smallCaps w:val="0"/>
            <w:noProof/>
            <w:sz w:val="22"/>
            <w:szCs w:val="22"/>
            <w:lang w:eastAsia="en-GB" w:bidi="ar-SA"/>
          </w:rPr>
          <w:tab/>
        </w:r>
        <w:r w:rsidR="00964644" w:rsidRPr="00715326">
          <w:rPr>
            <w:rStyle w:val="Hyperlink"/>
            <w:noProof/>
          </w:rPr>
          <w:t>FSANZ Act assessment requirements</w:t>
        </w:r>
        <w:r w:rsidR="00964644">
          <w:rPr>
            <w:noProof/>
            <w:webHidden/>
          </w:rPr>
          <w:tab/>
        </w:r>
        <w:r w:rsidR="00964644">
          <w:rPr>
            <w:noProof/>
            <w:webHidden/>
          </w:rPr>
          <w:fldChar w:fldCharType="begin"/>
        </w:r>
        <w:r w:rsidR="00964644">
          <w:rPr>
            <w:noProof/>
            <w:webHidden/>
          </w:rPr>
          <w:instrText xml:space="preserve"> PAGEREF _Toc68868654 \h </w:instrText>
        </w:r>
        <w:r w:rsidR="00964644">
          <w:rPr>
            <w:noProof/>
            <w:webHidden/>
          </w:rPr>
        </w:r>
        <w:r w:rsidR="00964644">
          <w:rPr>
            <w:noProof/>
            <w:webHidden/>
          </w:rPr>
          <w:fldChar w:fldCharType="separate"/>
        </w:r>
        <w:r>
          <w:rPr>
            <w:noProof/>
            <w:webHidden/>
          </w:rPr>
          <w:t>8</w:t>
        </w:r>
        <w:r w:rsidR="00964644">
          <w:rPr>
            <w:noProof/>
            <w:webHidden/>
          </w:rPr>
          <w:fldChar w:fldCharType="end"/>
        </w:r>
      </w:hyperlink>
    </w:p>
    <w:p w14:paraId="510BA83F" w14:textId="6A3613EC" w:rsidR="00964644" w:rsidRDefault="00502074">
      <w:pPr>
        <w:pStyle w:val="TOC3"/>
        <w:rPr>
          <w:rFonts w:eastAsiaTheme="minorEastAsia" w:cstheme="minorBidi"/>
          <w:i w:val="0"/>
          <w:iCs w:val="0"/>
          <w:noProof/>
          <w:sz w:val="22"/>
          <w:szCs w:val="22"/>
          <w:lang w:eastAsia="en-GB" w:bidi="ar-SA"/>
        </w:rPr>
      </w:pPr>
      <w:hyperlink w:anchor="_Toc68868655" w:history="1">
        <w:r w:rsidR="00964644" w:rsidRPr="00715326">
          <w:rPr>
            <w:rStyle w:val="Hyperlink"/>
            <w:noProof/>
          </w:rPr>
          <w:t>2.4.1</w:t>
        </w:r>
        <w:r w:rsidR="00964644">
          <w:rPr>
            <w:rFonts w:eastAsiaTheme="minorEastAsia" w:cstheme="minorBidi"/>
            <w:i w:val="0"/>
            <w:iCs w:val="0"/>
            <w:noProof/>
            <w:sz w:val="22"/>
            <w:szCs w:val="22"/>
            <w:lang w:eastAsia="en-GB" w:bidi="ar-SA"/>
          </w:rPr>
          <w:tab/>
        </w:r>
        <w:r w:rsidR="00964644" w:rsidRPr="00715326">
          <w:rPr>
            <w:rStyle w:val="Hyperlink"/>
            <w:noProof/>
          </w:rPr>
          <w:t>Section 29</w:t>
        </w:r>
        <w:r w:rsidR="00964644">
          <w:rPr>
            <w:noProof/>
            <w:webHidden/>
          </w:rPr>
          <w:tab/>
        </w:r>
        <w:r w:rsidR="00964644">
          <w:rPr>
            <w:noProof/>
            <w:webHidden/>
          </w:rPr>
          <w:fldChar w:fldCharType="begin"/>
        </w:r>
        <w:r w:rsidR="00964644">
          <w:rPr>
            <w:noProof/>
            <w:webHidden/>
          </w:rPr>
          <w:instrText xml:space="preserve"> PAGEREF _Toc68868655 \h </w:instrText>
        </w:r>
        <w:r w:rsidR="00964644">
          <w:rPr>
            <w:noProof/>
            <w:webHidden/>
          </w:rPr>
        </w:r>
        <w:r w:rsidR="00964644">
          <w:rPr>
            <w:noProof/>
            <w:webHidden/>
          </w:rPr>
          <w:fldChar w:fldCharType="separate"/>
        </w:r>
        <w:r>
          <w:rPr>
            <w:noProof/>
            <w:webHidden/>
          </w:rPr>
          <w:t>8</w:t>
        </w:r>
        <w:r w:rsidR="00964644">
          <w:rPr>
            <w:noProof/>
            <w:webHidden/>
          </w:rPr>
          <w:fldChar w:fldCharType="end"/>
        </w:r>
      </w:hyperlink>
    </w:p>
    <w:p w14:paraId="47426515" w14:textId="260128E3" w:rsidR="00964644" w:rsidRDefault="00502074">
      <w:pPr>
        <w:pStyle w:val="TOC3"/>
        <w:rPr>
          <w:rFonts w:eastAsiaTheme="minorEastAsia" w:cstheme="minorBidi"/>
          <w:i w:val="0"/>
          <w:iCs w:val="0"/>
          <w:noProof/>
          <w:sz w:val="22"/>
          <w:szCs w:val="22"/>
          <w:lang w:eastAsia="en-GB" w:bidi="ar-SA"/>
        </w:rPr>
      </w:pPr>
      <w:hyperlink w:anchor="_Toc68868656" w:history="1">
        <w:r w:rsidR="00964644" w:rsidRPr="00715326">
          <w:rPr>
            <w:rStyle w:val="Hyperlink"/>
            <w:noProof/>
          </w:rPr>
          <w:t>2.4.2</w:t>
        </w:r>
        <w:r w:rsidR="00964644">
          <w:rPr>
            <w:rFonts w:eastAsiaTheme="minorEastAsia" w:cstheme="minorBidi"/>
            <w:i w:val="0"/>
            <w:iCs w:val="0"/>
            <w:noProof/>
            <w:sz w:val="22"/>
            <w:szCs w:val="22"/>
            <w:lang w:eastAsia="en-GB" w:bidi="ar-SA"/>
          </w:rPr>
          <w:tab/>
        </w:r>
        <w:r w:rsidR="00964644" w:rsidRPr="00715326">
          <w:rPr>
            <w:rStyle w:val="Hyperlink"/>
            <w:noProof/>
          </w:rPr>
          <w:t>Subsection 18(1)</w:t>
        </w:r>
        <w:r w:rsidR="00964644">
          <w:rPr>
            <w:noProof/>
            <w:webHidden/>
          </w:rPr>
          <w:tab/>
        </w:r>
        <w:r w:rsidR="00964644">
          <w:rPr>
            <w:noProof/>
            <w:webHidden/>
          </w:rPr>
          <w:fldChar w:fldCharType="begin"/>
        </w:r>
        <w:r w:rsidR="00964644">
          <w:rPr>
            <w:noProof/>
            <w:webHidden/>
          </w:rPr>
          <w:instrText xml:space="preserve"> PAGEREF _Toc68868656 \h </w:instrText>
        </w:r>
        <w:r w:rsidR="00964644">
          <w:rPr>
            <w:noProof/>
            <w:webHidden/>
          </w:rPr>
        </w:r>
        <w:r w:rsidR="00964644">
          <w:rPr>
            <w:noProof/>
            <w:webHidden/>
          </w:rPr>
          <w:fldChar w:fldCharType="separate"/>
        </w:r>
        <w:r>
          <w:rPr>
            <w:noProof/>
            <w:webHidden/>
          </w:rPr>
          <w:t>9</w:t>
        </w:r>
        <w:r w:rsidR="00964644">
          <w:rPr>
            <w:noProof/>
            <w:webHidden/>
          </w:rPr>
          <w:fldChar w:fldCharType="end"/>
        </w:r>
      </w:hyperlink>
    </w:p>
    <w:p w14:paraId="592CBB8E" w14:textId="7963F16D" w:rsidR="00964644" w:rsidRDefault="00502074">
      <w:pPr>
        <w:pStyle w:val="TOC3"/>
        <w:rPr>
          <w:rFonts w:eastAsiaTheme="minorEastAsia" w:cstheme="minorBidi"/>
          <w:i w:val="0"/>
          <w:iCs w:val="0"/>
          <w:noProof/>
          <w:sz w:val="22"/>
          <w:szCs w:val="22"/>
          <w:lang w:eastAsia="en-GB" w:bidi="ar-SA"/>
        </w:rPr>
      </w:pPr>
      <w:hyperlink w:anchor="_Toc68868657" w:history="1">
        <w:r w:rsidR="00964644" w:rsidRPr="00715326">
          <w:rPr>
            <w:rStyle w:val="Hyperlink"/>
            <w:noProof/>
          </w:rPr>
          <w:t>2.4.3</w:t>
        </w:r>
        <w:r w:rsidR="00964644">
          <w:rPr>
            <w:rFonts w:eastAsiaTheme="minorEastAsia" w:cstheme="minorBidi"/>
            <w:i w:val="0"/>
            <w:iCs w:val="0"/>
            <w:noProof/>
            <w:sz w:val="22"/>
            <w:szCs w:val="22"/>
            <w:lang w:eastAsia="en-GB" w:bidi="ar-SA"/>
          </w:rPr>
          <w:tab/>
        </w:r>
        <w:r w:rsidR="00964644" w:rsidRPr="00715326">
          <w:rPr>
            <w:rStyle w:val="Hyperlink"/>
            <w:noProof/>
          </w:rPr>
          <w:t>Subsection 18(2) considerations</w:t>
        </w:r>
        <w:r w:rsidR="00964644">
          <w:rPr>
            <w:noProof/>
            <w:webHidden/>
          </w:rPr>
          <w:tab/>
        </w:r>
        <w:r w:rsidR="00964644">
          <w:rPr>
            <w:noProof/>
            <w:webHidden/>
          </w:rPr>
          <w:fldChar w:fldCharType="begin"/>
        </w:r>
        <w:r w:rsidR="00964644">
          <w:rPr>
            <w:noProof/>
            <w:webHidden/>
          </w:rPr>
          <w:instrText xml:space="preserve"> PAGEREF _Toc68868657 \h </w:instrText>
        </w:r>
        <w:r w:rsidR="00964644">
          <w:rPr>
            <w:noProof/>
            <w:webHidden/>
          </w:rPr>
        </w:r>
        <w:r w:rsidR="00964644">
          <w:rPr>
            <w:noProof/>
            <w:webHidden/>
          </w:rPr>
          <w:fldChar w:fldCharType="separate"/>
        </w:r>
        <w:r>
          <w:rPr>
            <w:noProof/>
            <w:webHidden/>
          </w:rPr>
          <w:t>10</w:t>
        </w:r>
        <w:r w:rsidR="00964644">
          <w:rPr>
            <w:noProof/>
            <w:webHidden/>
          </w:rPr>
          <w:fldChar w:fldCharType="end"/>
        </w:r>
      </w:hyperlink>
    </w:p>
    <w:p w14:paraId="24242A21" w14:textId="37D0B90B" w:rsidR="00964644" w:rsidRDefault="00502074">
      <w:pPr>
        <w:pStyle w:val="TOC1"/>
        <w:tabs>
          <w:tab w:val="left" w:pos="440"/>
          <w:tab w:val="right" w:leader="dot" w:pos="9060"/>
        </w:tabs>
        <w:rPr>
          <w:rFonts w:eastAsiaTheme="minorEastAsia" w:cstheme="minorBidi"/>
          <w:b w:val="0"/>
          <w:bCs w:val="0"/>
          <w:caps w:val="0"/>
          <w:noProof/>
          <w:sz w:val="22"/>
          <w:szCs w:val="22"/>
          <w:lang w:eastAsia="en-GB" w:bidi="ar-SA"/>
        </w:rPr>
      </w:pPr>
      <w:hyperlink w:anchor="_Toc68868658" w:history="1">
        <w:r w:rsidR="00964644" w:rsidRPr="00715326">
          <w:rPr>
            <w:rStyle w:val="Hyperlink"/>
            <w:noProof/>
          </w:rPr>
          <w:t>3</w:t>
        </w:r>
        <w:r w:rsidR="00964644">
          <w:rPr>
            <w:rFonts w:eastAsiaTheme="minorEastAsia" w:cstheme="minorBidi"/>
            <w:b w:val="0"/>
            <w:bCs w:val="0"/>
            <w:caps w:val="0"/>
            <w:noProof/>
            <w:sz w:val="22"/>
            <w:szCs w:val="22"/>
            <w:lang w:eastAsia="en-GB" w:bidi="ar-SA"/>
          </w:rPr>
          <w:tab/>
        </w:r>
        <w:r w:rsidR="00964644" w:rsidRPr="00715326">
          <w:rPr>
            <w:rStyle w:val="Hyperlink"/>
            <w:noProof/>
          </w:rPr>
          <w:t>Draft variation</w:t>
        </w:r>
        <w:r w:rsidR="00964644">
          <w:rPr>
            <w:noProof/>
            <w:webHidden/>
          </w:rPr>
          <w:tab/>
        </w:r>
        <w:r w:rsidR="00964644">
          <w:rPr>
            <w:noProof/>
            <w:webHidden/>
          </w:rPr>
          <w:fldChar w:fldCharType="begin"/>
        </w:r>
        <w:r w:rsidR="00964644">
          <w:rPr>
            <w:noProof/>
            <w:webHidden/>
          </w:rPr>
          <w:instrText xml:space="preserve"> PAGEREF _Toc68868658 \h </w:instrText>
        </w:r>
        <w:r w:rsidR="00964644">
          <w:rPr>
            <w:noProof/>
            <w:webHidden/>
          </w:rPr>
        </w:r>
        <w:r w:rsidR="00964644">
          <w:rPr>
            <w:noProof/>
            <w:webHidden/>
          </w:rPr>
          <w:fldChar w:fldCharType="separate"/>
        </w:r>
        <w:r>
          <w:rPr>
            <w:noProof/>
            <w:webHidden/>
          </w:rPr>
          <w:t>11</w:t>
        </w:r>
        <w:r w:rsidR="00964644">
          <w:rPr>
            <w:noProof/>
            <w:webHidden/>
          </w:rPr>
          <w:fldChar w:fldCharType="end"/>
        </w:r>
      </w:hyperlink>
    </w:p>
    <w:p w14:paraId="1A70EAEA" w14:textId="08C9E708" w:rsidR="00964644" w:rsidRDefault="00502074">
      <w:pPr>
        <w:pStyle w:val="TOC1"/>
        <w:tabs>
          <w:tab w:val="left" w:pos="440"/>
          <w:tab w:val="right" w:leader="dot" w:pos="9060"/>
        </w:tabs>
        <w:rPr>
          <w:rFonts w:eastAsiaTheme="minorEastAsia" w:cstheme="minorBidi"/>
          <w:b w:val="0"/>
          <w:bCs w:val="0"/>
          <w:caps w:val="0"/>
          <w:noProof/>
          <w:sz w:val="22"/>
          <w:szCs w:val="22"/>
          <w:lang w:eastAsia="en-GB" w:bidi="ar-SA"/>
        </w:rPr>
      </w:pPr>
      <w:hyperlink w:anchor="_Toc68868659" w:history="1">
        <w:r w:rsidR="00964644" w:rsidRPr="00715326">
          <w:rPr>
            <w:rStyle w:val="Hyperlink"/>
            <w:noProof/>
          </w:rPr>
          <w:t>4</w:t>
        </w:r>
        <w:r w:rsidR="00964644">
          <w:rPr>
            <w:rFonts w:eastAsiaTheme="minorEastAsia" w:cstheme="minorBidi"/>
            <w:b w:val="0"/>
            <w:bCs w:val="0"/>
            <w:caps w:val="0"/>
            <w:noProof/>
            <w:sz w:val="22"/>
            <w:szCs w:val="22"/>
            <w:lang w:eastAsia="en-GB" w:bidi="ar-SA"/>
          </w:rPr>
          <w:tab/>
        </w:r>
        <w:r w:rsidR="00964644" w:rsidRPr="00715326">
          <w:rPr>
            <w:rStyle w:val="Hyperlink"/>
            <w:noProof/>
          </w:rPr>
          <w:t>References</w:t>
        </w:r>
        <w:r w:rsidR="00964644">
          <w:rPr>
            <w:noProof/>
            <w:webHidden/>
          </w:rPr>
          <w:tab/>
        </w:r>
        <w:r w:rsidR="00964644">
          <w:rPr>
            <w:noProof/>
            <w:webHidden/>
          </w:rPr>
          <w:fldChar w:fldCharType="begin"/>
        </w:r>
        <w:r w:rsidR="00964644">
          <w:rPr>
            <w:noProof/>
            <w:webHidden/>
          </w:rPr>
          <w:instrText xml:space="preserve"> PAGEREF _Toc68868659 \h </w:instrText>
        </w:r>
        <w:r w:rsidR="00964644">
          <w:rPr>
            <w:noProof/>
            <w:webHidden/>
          </w:rPr>
        </w:r>
        <w:r w:rsidR="00964644">
          <w:rPr>
            <w:noProof/>
            <w:webHidden/>
          </w:rPr>
          <w:fldChar w:fldCharType="separate"/>
        </w:r>
        <w:r>
          <w:rPr>
            <w:noProof/>
            <w:webHidden/>
          </w:rPr>
          <w:t>11</w:t>
        </w:r>
        <w:r w:rsidR="00964644">
          <w:rPr>
            <w:noProof/>
            <w:webHidden/>
          </w:rPr>
          <w:fldChar w:fldCharType="end"/>
        </w:r>
      </w:hyperlink>
    </w:p>
    <w:p w14:paraId="78F0CBF3" w14:textId="4C71E463" w:rsidR="00964644" w:rsidRDefault="00502074">
      <w:pPr>
        <w:pStyle w:val="TOC2"/>
        <w:tabs>
          <w:tab w:val="right" w:leader="dot" w:pos="9060"/>
        </w:tabs>
        <w:rPr>
          <w:rFonts w:eastAsiaTheme="minorEastAsia" w:cstheme="minorBidi"/>
          <w:smallCaps w:val="0"/>
          <w:noProof/>
          <w:sz w:val="22"/>
          <w:szCs w:val="22"/>
          <w:lang w:eastAsia="en-GB" w:bidi="ar-SA"/>
        </w:rPr>
      </w:pPr>
      <w:hyperlink w:anchor="_Toc68868660" w:history="1">
        <w:r w:rsidR="00964644" w:rsidRPr="00715326">
          <w:rPr>
            <w:rStyle w:val="Hyperlink"/>
            <w:noProof/>
          </w:rPr>
          <w:t xml:space="preserve">Attachment A – Draft variation to the </w:t>
        </w:r>
        <w:r w:rsidR="00964644" w:rsidRPr="00715326">
          <w:rPr>
            <w:rStyle w:val="Hyperlink"/>
            <w:i/>
            <w:noProof/>
          </w:rPr>
          <w:t>Australia New Zealand Food Standards Code</w:t>
        </w:r>
        <w:r w:rsidR="00964644">
          <w:rPr>
            <w:noProof/>
            <w:webHidden/>
          </w:rPr>
          <w:tab/>
        </w:r>
        <w:r w:rsidR="00964644">
          <w:rPr>
            <w:noProof/>
            <w:webHidden/>
          </w:rPr>
          <w:fldChar w:fldCharType="begin"/>
        </w:r>
        <w:r w:rsidR="00964644">
          <w:rPr>
            <w:noProof/>
            <w:webHidden/>
          </w:rPr>
          <w:instrText xml:space="preserve"> PAGEREF _Toc68868660 \h </w:instrText>
        </w:r>
        <w:r w:rsidR="00964644">
          <w:rPr>
            <w:noProof/>
            <w:webHidden/>
          </w:rPr>
        </w:r>
        <w:r w:rsidR="00964644">
          <w:rPr>
            <w:noProof/>
            <w:webHidden/>
          </w:rPr>
          <w:fldChar w:fldCharType="separate"/>
        </w:r>
        <w:r>
          <w:rPr>
            <w:noProof/>
            <w:webHidden/>
          </w:rPr>
          <w:t>12</w:t>
        </w:r>
        <w:r w:rsidR="00964644">
          <w:rPr>
            <w:noProof/>
            <w:webHidden/>
          </w:rPr>
          <w:fldChar w:fldCharType="end"/>
        </w:r>
      </w:hyperlink>
    </w:p>
    <w:p w14:paraId="48CD2B47" w14:textId="49024FD7" w:rsidR="00964644" w:rsidRDefault="00502074">
      <w:pPr>
        <w:pStyle w:val="TOC2"/>
        <w:tabs>
          <w:tab w:val="right" w:leader="dot" w:pos="9060"/>
        </w:tabs>
        <w:rPr>
          <w:rFonts w:eastAsiaTheme="minorEastAsia" w:cstheme="minorBidi"/>
          <w:smallCaps w:val="0"/>
          <w:noProof/>
          <w:sz w:val="22"/>
          <w:szCs w:val="22"/>
          <w:lang w:eastAsia="en-GB" w:bidi="ar-SA"/>
        </w:rPr>
      </w:pPr>
      <w:hyperlink w:anchor="_Toc68868661" w:history="1">
        <w:r w:rsidR="00964644" w:rsidRPr="00715326">
          <w:rPr>
            <w:rStyle w:val="Hyperlink"/>
            <w:noProof/>
          </w:rPr>
          <w:t>Attachment B – Draft Explanatory Statement</w:t>
        </w:r>
        <w:r w:rsidR="00964644">
          <w:rPr>
            <w:noProof/>
            <w:webHidden/>
          </w:rPr>
          <w:tab/>
        </w:r>
        <w:r w:rsidR="00964644">
          <w:rPr>
            <w:noProof/>
            <w:webHidden/>
          </w:rPr>
          <w:fldChar w:fldCharType="begin"/>
        </w:r>
        <w:r w:rsidR="00964644">
          <w:rPr>
            <w:noProof/>
            <w:webHidden/>
          </w:rPr>
          <w:instrText xml:space="preserve"> PAGEREF _Toc68868661 \h </w:instrText>
        </w:r>
        <w:r w:rsidR="00964644">
          <w:rPr>
            <w:noProof/>
            <w:webHidden/>
          </w:rPr>
        </w:r>
        <w:r w:rsidR="00964644">
          <w:rPr>
            <w:noProof/>
            <w:webHidden/>
          </w:rPr>
          <w:fldChar w:fldCharType="separate"/>
        </w:r>
        <w:r>
          <w:rPr>
            <w:noProof/>
            <w:webHidden/>
          </w:rPr>
          <w:t>15</w:t>
        </w:r>
        <w:r w:rsidR="00964644">
          <w:rPr>
            <w:noProof/>
            <w:webHidden/>
          </w:rPr>
          <w:fldChar w:fldCharType="end"/>
        </w:r>
      </w:hyperlink>
    </w:p>
    <w:p w14:paraId="4600FE45" w14:textId="47A539E8"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11F179A5"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3CA939D5" w:rsidR="0037520F" w:rsidRPr="00212C87" w:rsidRDefault="0037520F" w:rsidP="00442E6A">
      <w:pPr>
        <w:rPr>
          <w:szCs w:val="22"/>
        </w:rPr>
      </w:pPr>
      <w:r w:rsidRPr="00212C87">
        <w:rPr>
          <w:szCs w:val="22"/>
        </w:rPr>
        <w:t xml:space="preserve">The following document </w:t>
      </w:r>
      <w:r w:rsidR="00681754" w:rsidRPr="00212C87">
        <w:rPr>
          <w:szCs w:val="22"/>
        </w:rPr>
        <w:t>which i</w:t>
      </w:r>
      <w:r w:rsidR="00ED3C06">
        <w:rPr>
          <w:szCs w:val="22"/>
        </w:rPr>
        <w:t>nformed the assessment of this a</w:t>
      </w:r>
      <w:r w:rsidR="00681754" w:rsidRPr="00212C87">
        <w:rPr>
          <w:szCs w:val="22"/>
        </w:rPr>
        <w:t>pplication</w:t>
      </w:r>
      <w:r w:rsidRPr="00212C87">
        <w:rPr>
          <w:szCs w:val="22"/>
        </w:rPr>
        <w:t xml:space="preserve"> are available on the FSANZ website</w:t>
      </w:r>
      <w:r w:rsidR="00820535" w:rsidRPr="00212C87">
        <w:rPr>
          <w:szCs w:val="22"/>
        </w:rPr>
        <w:t>:</w:t>
      </w:r>
    </w:p>
    <w:p w14:paraId="42974389" w14:textId="77777777" w:rsidR="0089264A" w:rsidRPr="0089264A" w:rsidRDefault="0089264A" w:rsidP="00442E6A">
      <w:pPr>
        <w:rPr>
          <w:szCs w:val="22"/>
        </w:rPr>
      </w:pPr>
    </w:p>
    <w:p w14:paraId="52B492D5" w14:textId="77777777" w:rsidR="00DE5651" w:rsidRDefault="0089264A" w:rsidP="00442E6A">
      <w:pPr>
        <w:ind w:left="1134" w:hanging="1134"/>
        <w:sectPr w:rsidR="00DE5651" w:rsidSect="00CC36E7">
          <w:pgSz w:w="11906" w:h="16838"/>
          <w:pgMar w:top="1418" w:right="1418" w:bottom="1134" w:left="1418" w:header="709" w:footer="709" w:gutter="0"/>
          <w:pgNumType w:start="1"/>
          <w:cols w:space="708"/>
          <w:docGrid w:linePitch="360"/>
        </w:sectPr>
      </w:pPr>
      <w:r w:rsidRPr="00212C87">
        <w:t>SD1</w:t>
      </w:r>
      <w:r w:rsidRPr="00212C87">
        <w:tab/>
      </w:r>
      <w:r w:rsidR="00212C87" w:rsidRPr="00212C87">
        <w:t xml:space="preserve">Risk Assessment: </w:t>
      </w:r>
      <w:r w:rsidR="000829A3">
        <w:t>Nutrition, safety, food</w:t>
      </w:r>
      <w:r w:rsidR="000829A3" w:rsidRPr="0029778E">
        <w:t xml:space="preserve"> technology</w:t>
      </w:r>
      <w:r w:rsidR="000829A3">
        <w:t xml:space="preserve"> </w:t>
      </w:r>
      <w:r w:rsidR="000829A3" w:rsidRPr="0029778E">
        <w:t xml:space="preserve">and dietary </w:t>
      </w:r>
      <w:r w:rsidR="000829A3">
        <w:t>intake</w:t>
      </w:r>
      <w:r w:rsidR="000829A3" w:rsidRPr="0029778E">
        <w:t xml:space="preserve"> assessment report</w:t>
      </w:r>
    </w:p>
    <w:p w14:paraId="699D5D67" w14:textId="77777777" w:rsidR="00E063C6" w:rsidRDefault="00F33BB8" w:rsidP="000A5DF8">
      <w:pPr>
        <w:pStyle w:val="Heading1"/>
      </w:pPr>
      <w:bookmarkStart w:id="1" w:name="_Toc286391001"/>
      <w:bookmarkStart w:id="2" w:name="_Toc300933414"/>
      <w:bookmarkStart w:id="3" w:name="_Toc65840471"/>
      <w:bookmarkStart w:id="4" w:name="_Toc68868635"/>
      <w:bookmarkStart w:id="5" w:name="_Toc11735627"/>
      <w:bookmarkStart w:id="6" w:name="_Toc29883110"/>
      <w:bookmarkStart w:id="7" w:name="_Toc41906797"/>
      <w:bookmarkStart w:id="8" w:name="_Toc41907544"/>
      <w:bookmarkStart w:id="9" w:name="_Toc120358575"/>
      <w:r>
        <w:lastRenderedPageBreak/>
        <w:t>E</w:t>
      </w:r>
      <w:r w:rsidR="0037520F">
        <w:t>xecutive s</w:t>
      </w:r>
      <w:r w:rsidR="00E063C6" w:rsidRPr="00E203C2">
        <w:t>ummary</w:t>
      </w:r>
      <w:bookmarkEnd w:id="1"/>
      <w:bookmarkEnd w:id="2"/>
      <w:bookmarkEnd w:id="3"/>
      <w:bookmarkEnd w:id="4"/>
    </w:p>
    <w:p w14:paraId="1AC86F8B" w14:textId="64D32C02" w:rsidR="0067007B" w:rsidRDefault="0008460F" w:rsidP="00442E6A">
      <w:pPr>
        <w:rPr>
          <w:szCs w:val="22"/>
        </w:rPr>
      </w:pPr>
      <w:bookmarkStart w:id="10" w:name="_Toc286391003"/>
      <w:r>
        <w:t xml:space="preserve">ChromaDex Inc. </w:t>
      </w:r>
      <w:r w:rsidR="00F5041C">
        <w:t xml:space="preserve">lodged </w:t>
      </w:r>
      <w:r>
        <w:t xml:space="preserve">an </w:t>
      </w:r>
      <w:r w:rsidR="00ED3C06">
        <w:t>a</w:t>
      </w:r>
      <w:r>
        <w:t xml:space="preserve">pplication to amend the </w:t>
      </w:r>
      <w:r w:rsidRPr="004B74BF">
        <w:rPr>
          <w:szCs w:val="22"/>
        </w:rPr>
        <w:t>Australia New Zealand Food Standards Code</w:t>
      </w:r>
      <w:r w:rsidRPr="0029778E">
        <w:rPr>
          <w:szCs w:val="22"/>
        </w:rPr>
        <w:t xml:space="preserve"> (</w:t>
      </w:r>
      <w:r w:rsidRPr="0029778E">
        <w:rPr>
          <w:bCs/>
          <w:szCs w:val="22"/>
        </w:rPr>
        <w:t>the Code</w:t>
      </w:r>
      <w:r w:rsidRPr="0029778E">
        <w:rPr>
          <w:szCs w:val="22"/>
        </w:rPr>
        <w:t>)</w:t>
      </w:r>
      <w:r>
        <w:rPr>
          <w:szCs w:val="22"/>
        </w:rPr>
        <w:t xml:space="preserve"> to permit the use of nicotinamide riboside c</w:t>
      </w:r>
      <w:r w:rsidR="00843455">
        <w:rPr>
          <w:szCs w:val="22"/>
        </w:rPr>
        <w:t>hloride as a form of v</w:t>
      </w:r>
      <w:r w:rsidR="00CF6621">
        <w:rPr>
          <w:szCs w:val="22"/>
        </w:rPr>
        <w:t>itamin B3 in food</w:t>
      </w:r>
      <w:r>
        <w:rPr>
          <w:szCs w:val="22"/>
        </w:rPr>
        <w:t xml:space="preserve"> for special medical </w:t>
      </w:r>
      <w:r w:rsidRPr="0029778E">
        <w:rPr>
          <w:szCs w:val="22"/>
        </w:rPr>
        <w:t>purposes (</w:t>
      </w:r>
      <w:r w:rsidRPr="0029778E">
        <w:rPr>
          <w:bCs/>
          <w:szCs w:val="22"/>
        </w:rPr>
        <w:t>FSMPs</w:t>
      </w:r>
      <w:r w:rsidRPr="0029778E">
        <w:rPr>
          <w:szCs w:val="22"/>
        </w:rPr>
        <w:t>).</w:t>
      </w:r>
      <w:r>
        <w:rPr>
          <w:szCs w:val="22"/>
        </w:rPr>
        <w:t xml:space="preserve"> </w:t>
      </w:r>
      <w:r w:rsidR="00EC4A8E">
        <w:rPr>
          <w:szCs w:val="22"/>
        </w:rPr>
        <w:t xml:space="preserve">FSMPs partially or totally replace the daily diet and are recommended for use under medical supervision. </w:t>
      </w:r>
    </w:p>
    <w:p w14:paraId="4B5F11BF" w14:textId="77777777" w:rsidR="0067007B" w:rsidRDefault="0067007B" w:rsidP="00442E6A">
      <w:pPr>
        <w:rPr>
          <w:szCs w:val="22"/>
        </w:rPr>
      </w:pPr>
    </w:p>
    <w:p w14:paraId="145AD970" w14:textId="42751966" w:rsidR="00843455" w:rsidRDefault="007E34B8" w:rsidP="00442E6A">
      <w:pPr>
        <w:rPr>
          <w:szCs w:val="22"/>
        </w:rPr>
      </w:pPr>
      <w:r>
        <w:rPr>
          <w:szCs w:val="22"/>
        </w:rPr>
        <w:t>Division 3 of Standard</w:t>
      </w:r>
      <w:r w:rsidR="00CF26ED">
        <w:rPr>
          <w:szCs w:val="22"/>
        </w:rPr>
        <w:t xml:space="preserve"> 2.9.5</w:t>
      </w:r>
      <w:r>
        <w:rPr>
          <w:szCs w:val="22"/>
        </w:rPr>
        <w:t xml:space="preserve"> </w:t>
      </w:r>
      <w:bookmarkStart w:id="11" w:name="_Ref333760136"/>
      <w:r w:rsidR="0067007B">
        <w:rPr>
          <w:szCs w:val="22"/>
        </w:rPr>
        <w:t xml:space="preserve">of the Code </w:t>
      </w:r>
      <w:r w:rsidR="0008460F" w:rsidRPr="009D71A4">
        <w:rPr>
          <w:szCs w:val="22"/>
        </w:rPr>
        <w:t>permi</w:t>
      </w:r>
      <w:r w:rsidR="00F5041C">
        <w:rPr>
          <w:szCs w:val="22"/>
        </w:rPr>
        <w:t>t</w:t>
      </w:r>
      <w:r w:rsidR="0008460F" w:rsidRPr="009D71A4">
        <w:rPr>
          <w:szCs w:val="22"/>
        </w:rPr>
        <w:t>s</w:t>
      </w:r>
      <w:r w:rsidR="00723A73">
        <w:rPr>
          <w:szCs w:val="22"/>
        </w:rPr>
        <w:t xml:space="preserve"> </w:t>
      </w:r>
      <w:r w:rsidR="0008460F" w:rsidRPr="009D71A4">
        <w:rPr>
          <w:szCs w:val="22"/>
        </w:rPr>
        <w:t xml:space="preserve">substances that may be added to </w:t>
      </w:r>
      <w:bookmarkEnd w:id="11"/>
      <w:r w:rsidR="00843455">
        <w:rPr>
          <w:szCs w:val="22"/>
        </w:rPr>
        <w:t>FSMPs</w:t>
      </w:r>
      <w:r w:rsidR="00DE76CB">
        <w:rPr>
          <w:szCs w:val="22"/>
        </w:rPr>
        <w:t>, including vitamins and their permitted forms</w:t>
      </w:r>
      <w:r w:rsidR="0008460F" w:rsidRPr="009D71A4">
        <w:rPr>
          <w:szCs w:val="22"/>
        </w:rPr>
        <w:t>.</w:t>
      </w:r>
      <w:r w:rsidR="00843455">
        <w:rPr>
          <w:szCs w:val="22"/>
        </w:rPr>
        <w:t xml:space="preserve"> </w:t>
      </w:r>
      <w:r w:rsidR="0067007B">
        <w:rPr>
          <w:szCs w:val="22"/>
        </w:rPr>
        <w:t xml:space="preserve">Vitamin B3 compounds are referred to as ‘niacin’ in the Code. </w:t>
      </w:r>
      <w:r w:rsidR="00843455">
        <w:rPr>
          <w:szCs w:val="22"/>
        </w:rPr>
        <w:t xml:space="preserve"> </w:t>
      </w:r>
    </w:p>
    <w:p w14:paraId="4261AFD3" w14:textId="77777777" w:rsidR="00843455" w:rsidRDefault="00843455" w:rsidP="00442E6A"/>
    <w:p w14:paraId="44C0503D" w14:textId="37A16EC7" w:rsidR="0008460F" w:rsidRDefault="00CF26ED" w:rsidP="00442E6A">
      <w:r>
        <w:t xml:space="preserve">Niacin </w:t>
      </w:r>
      <w:r w:rsidR="0008460F">
        <w:t xml:space="preserve">functions as a source of </w:t>
      </w:r>
      <w:r w:rsidR="00EC4A8E">
        <w:rPr>
          <w:szCs w:val="22"/>
        </w:rPr>
        <w:t xml:space="preserve">nicotinamide adenine </w:t>
      </w:r>
      <w:r w:rsidR="00EC4A8E" w:rsidRPr="00955C64">
        <w:rPr>
          <w:szCs w:val="22"/>
        </w:rPr>
        <w:t>dinucleotide (</w:t>
      </w:r>
      <w:r w:rsidR="00EC4A8E" w:rsidRPr="00955C64">
        <w:rPr>
          <w:bCs/>
          <w:szCs w:val="22"/>
        </w:rPr>
        <w:t>NAD</w:t>
      </w:r>
      <w:r w:rsidR="00EC4A8E" w:rsidRPr="00ED1783">
        <w:rPr>
          <w:vertAlign w:val="superscript"/>
        </w:rPr>
        <w:t>+</w:t>
      </w:r>
      <w:r w:rsidR="00EC4A8E" w:rsidRPr="00955C64">
        <w:rPr>
          <w:szCs w:val="22"/>
        </w:rPr>
        <w:t>)</w:t>
      </w:r>
      <w:r w:rsidR="00EC4A8E">
        <w:rPr>
          <w:szCs w:val="22"/>
        </w:rPr>
        <w:t xml:space="preserve"> </w:t>
      </w:r>
      <w:r w:rsidR="0008460F">
        <w:t xml:space="preserve">in the body </w:t>
      </w:r>
      <w:r>
        <w:t>which</w:t>
      </w:r>
      <w:r w:rsidR="0008460F">
        <w:t xml:space="preserve"> is required for a range of cellular functions. Niacin is an essential nutrient which must be obtained through dietary sources as the body cannot produce it on its own. Currently, nicotinic acid and </w:t>
      </w:r>
      <w:r w:rsidR="007E34B8" w:rsidRPr="007E34B8">
        <w:t>niacinamide (nicotinamide)</w:t>
      </w:r>
      <w:r w:rsidR="0008460F">
        <w:t xml:space="preserve"> are </w:t>
      </w:r>
      <w:r w:rsidR="007E34B8">
        <w:t>permitted forms</w:t>
      </w:r>
      <w:r w:rsidR="0008460F">
        <w:t xml:space="preserve"> of niacin</w:t>
      </w:r>
      <w:r w:rsidR="007E34B8">
        <w:t xml:space="preserve"> in FSMPs</w:t>
      </w:r>
      <w:r w:rsidR="0008460F">
        <w:t xml:space="preserve">. </w:t>
      </w:r>
    </w:p>
    <w:p w14:paraId="472393BF" w14:textId="2B3FB3A7" w:rsidR="001E1C2E" w:rsidRDefault="001E1C2E" w:rsidP="00442E6A"/>
    <w:p w14:paraId="59D92DE7" w14:textId="60E20589" w:rsidR="00BD62DC" w:rsidRDefault="00A32E2D" w:rsidP="00766D5D">
      <w:r>
        <w:t>B</w:t>
      </w:r>
      <w:r w:rsidRPr="00BD42B0">
        <w:t xml:space="preserve">ased on the available evidence, FSANZ considers that </w:t>
      </w:r>
      <w:r w:rsidR="001E1C2E">
        <w:rPr>
          <w:szCs w:val="22"/>
        </w:rPr>
        <w:t xml:space="preserve">nicotinamide riboside chloride </w:t>
      </w:r>
      <w:r w:rsidR="00AC3643" w:rsidRPr="00BD42B0">
        <w:t>is a precursor to NAD</w:t>
      </w:r>
      <w:r w:rsidR="00AC3643" w:rsidRPr="00BD42B0">
        <w:rPr>
          <w:vertAlign w:val="superscript"/>
        </w:rPr>
        <w:t>+</w:t>
      </w:r>
      <w:r w:rsidR="00AC3643" w:rsidRPr="00BD42B0">
        <w:t xml:space="preserve"> and therefore is a </w:t>
      </w:r>
      <w:r w:rsidR="00766D5D">
        <w:t xml:space="preserve">bioavailable </w:t>
      </w:r>
      <w:r w:rsidR="00AC3643" w:rsidRPr="00BD42B0">
        <w:t xml:space="preserve">form of niacin. </w:t>
      </w:r>
      <w:r w:rsidR="0008460F" w:rsidRPr="00A20376">
        <w:t>FSANZ’s risk assessment conclude</w:t>
      </w:r>
      <w:r>
        <w:t>s</w:t>
      </w:r>
      <w:r w:rsidR="0008460F" w:rsidRPr="00A20376">
        <w:t xml:space="preserve"> </w:t>
      </w:r>
      <w:r w:rsidR="00BD62DC" w:rsidRPr="00851A3C">
        <w:t xml:space="preserve">there is no evidence of a public health and safety concern associated with the </w:t>
      </w:r>
      <w:r w:rsidR="003D3005">
        <w:t>use</w:t>
      </w:r>
      <w:r w:rsidR="00BD62DC" w:rsidRPr="00851A3C">
        <w:t xml:space="preserve"> of </w:t>
      </w:r>
      <w:r w:rsidR="00BD62DC">
        <w:t>nicotinamide riboside chloride</w:t>
      </w:r>
      <w:r w:rsidR="00BD62DC" w:rsidRPr="00851A3C">
        <w:t xml:space="preserve"> as a permitted form of niacin </w:t>
      </w:r>
      <w:r w:rsidR="003D3005">
        <w:t>in</w:t>
      </w:r>
      <w:r w:rsidR="00BD62DC" w:rsidRPr="00851A3C">
        <w:t xml:space="preserve"> FSMPs</w:t>
      </w:r>
      <w:r w:rsidR="00BD62DC">
        <w:t xml:space="preserve"> under the existing regulatory measures of Standard 2.9.5</w:t>
      </w:r>
      <w:r w:rsidR="00BD62DC" w:rsidRPr="00851A3C">
        <w:t>.</w:t>
      </w:r>
    </w:p>
    <w:p w14:paraId="23559455" w14:textId="7331A25B" w:rsidR="00AC3643" w:rsidRPr="00A20376" w:rsidRDefault="00AC3643" w:rsidP="00BD62DC"/>
    <w:p w14:paraId="7C663503" w14:textId="5033E1FA" w:rsidR="004C5128" w:rsidRDefault="0008460F" w:rsidP="00442E6A">
      <w:pPr>
        <w:widowControl/>
        <w:autoSpaceDE w:val="0"/>
        <w:autoSpaceDN w:val="0"/>
        <w:adjustRightInd w:val="0"/>
      </w:pPr>
      <w:r w:rsidRPr="004C326F">
        <w:t xml:space="preserve">FSANZ has prepared a draft variation </w:t>
      </w:r>
      <w:r w:rsidR="00730A61">
        <w:t xml:space="preserve">of the Code </w:t>
      </w:r>
      <w:r w:rsidR="004C5128">
        <w:t>with the following proposed amendments:</w:t>
      </w:r>
    </w:p>
    <w:p w14:paraId="12F9B612" w14:textId="0CC13C9E" w:rsidR="004C5128" w:rsidRDefault="004C5128" w:rsidP="009D493E">
      <w:pPr>
        <w:pStyle w:val="ListParagraph"/>
        <w:widowControl/>
        <w:numPr>
          <w:ilvl w:val="0"/>
          <w:numId w:val="32"/>
        </w:numPr>
        <w:autoSpaceDE w:val="0"/>
        <w:autoSpaceDN w:val="0"/>
        <w:adjustRightInd w:val="0"/>
      </w:pPr>
      <w:r>
        <w:t xml:space="preserve">an </w:t>
      </w:r>
      <w:r w:rsidR="00730A61">
        <w:t>amend</w:t>
      </w:r>
      <w:r>
        <w:t>ment to</w:t>
      </w:r>
      <w:r w:rsidR="00730A61">
        <w:t xml:space="preserve"> the table to </w:t>
      </w:r>
      <w:r w:rsidR="00730A61" w:rsidRPr="00730A61">
        <w:t>section S29—20</w:t>
      </w:r>
      <w:r>
        <w:t xml:space="preserve"> including</w:t>
      </w:r>
      <w:r w:rsidR="0008460F" w:rsidRPr="004C326F">
        <w:t xml:space="preserve"> nicotinamide riboside chloride </w:t>
      </w:r>
      <w:r w:rsidR="007A38BA">
        <w:t>in the list of</w:t>
      </w:r>
      <w:r w:rsidR="0008460F" w:rsidRPr="004C326F">
        <w:t xml:space="preserve"> permit</w:t>
      </w:r>
      <w:r w:rsidR="001E1C2E">
        <w:t>ted form</w:t>
      </w:r>
      <w:r w:rsidR="007A38BA">
        <w:t>s</w:t>
      </w:r>
      <w:r w:rsidR="001E1C2E">
        <w:t xml:space="preserve"> of niacin </w:t>
      </w:r>
      <w:r>
        <w:t xml:space="preserve">that may be added to </w:t>
      </w:r>
      <w:r w:rsidR="001E1C2E">
        <w:t>FSMPs</w:t>
      </w:r>
      <w:r>
        <w:t>; and</w:t>
      </w:r>
    </w:p>
    <w:p w14:paraId="32E0B214" w14:textId="3BEEB79E" w:rsidR="001E1C2E" w:rsidRDefault="004C5128" w:rsidP="009D493E">
      <w:pPr>
        <w:pStyle w:val="ListParagraph"/>
        <w:widowControl/>
        <w:numPr>
          <w:ilvl w:val="0"/>
          <w:numId w:val="32"/>
        </w:numPr>
        <w:autoSpaceDE w:val="0"/>
        <w:autoSpaceDN w:val="0"/>
        <w:adjustRightInd w:val="0"/>
      </w:pPr>
      <w:r>
        <w:t xml:space="preserve">amendments to Schedule 3 </w:t>
      </w:r>
      <w:r w:rsidR="007A38BA">
        <w:t xml:space="preserve">related to </w:t>
      </w:r>
      <w:r w:rsidR="00730A61">
        <w:t>includ</w:t>
      </w:r>
      <w:r>
        <w:t>ing</w:t>
      </w:r>
      <w:r w:rsidR="00730A61">
        <w:t xml:space="preserve"> </w:t>
      </w:r>
      <w:r w:rsidR="0029128A">
        <w:t xml:space="preserve">a </w:t>
      </w:r>
      <w:r w:rsidR="001E1C2E" w:rsidRPr="004C326F">
        <w:t xml:space="preserve">specification for </w:t>
      </w:r>
      <w:r w:rsidR="001E1C2E" w:rsidRPr="0052400D">
        <w:t>nicotinamide riboside chloride</w:t>
      </w:r>
      <w:r>
        <w:t xml:space="preserve"> in that Schedule</w:t>
      </w:r>
      <w:r w:rsidR="0029128A">
        <w:t>.</w:t>
      </w:r>
    </w:p>
    <w:p w14:paraId="697E2468" w14:textId="6DD0DE61" w:rsidR="001E1C2E" w:rsidRDefault="001E1C2E" w:rsidP="00442E6A">
      <w:pPr>
        <w:widowControl/>
        <w:autoSpaceDE w:val="0"/>
        <w:autoSpaceDN w:val="0"/>
        <w:adjustRightInd w:val="0"/>
      </w:pPr>
    </w:p>
    <w:p w14:paraId="00F02FE5" w14:textId="4BFCE794" w:rsidR="003C2979" w:rsidRPr="004C326F" w:rsidRDefault="003C2979" w:rsidP="00442E6A">
      <w:pPr>
        <w:widowControl/>
        <w:autoSpaceDE w:val="0"/>
        <w:autoSpaceDN w:val="0"/>
        <w:adjustRightInd w:val="0"/>
      </w:pPr>
      <w:r>
        <w:t>The draft variation</w:t>
      </w:r>
      <w:r w:rsidR="001C1E88">
        <w:t>, if approved,</w:t>
      </w:r>
      <w:r>
        <w:t xml:space="preserve"> would permit the use of </w:t>
      </w:r>
      <w:r w:rsidRPr="003C2979">
        <w:t xml:space="preserve">nicotinamide riboside chloride as a form of </w:t>
      </w:r>
      <w:r>
        <w:t>niacin in FSMPs</w:t>
      </w:r>
      <w:r w:rsidR="00305F76">
        <w:t xml:space="preserve"> in accordance with </w:t>
      </w:r>
      <w:r w:rsidR="000260C7">
        <w:t>the Code</w:t>
      </w:r>
      <w:r>
        <w:t>.</w:t>
      </w:r>
    </w:p>
    <w:p w14:paraId="3117B62A" w14:textId="77777777" w:rsidR="003C2979" w:rsidRDefault="003C2979" w:rsidP="00442E6A"/>
    <w:p w14:paraId="2658A968" w14:textId="2D37596D" w:rsidR="0053464E" w:rsidRDefault="00730A61" w:rsidP="00442E6A">
      <w:r>
        <w:t>The draft variation</w:t>
      </w:r>
      <w:r w:rsidR="001E1C2E" w:rsidRPr="004C326F">
        <w:t xml:space="preserve"> does not </w:t>
      </w:r>
      <w:r w:rsidR="000A1C02">
        <w:t>include</w:t>
      </w:r>
      <w:r w:rsidRPr="004C326F">
        <w:t xml:space="preserve"> </w:t>
      </w:r>
      <w:r w:rsidR="001E1C2E" w:rsidRPr="004C326F">
        <w:t>any</w:t>
      </w:r>
      <w:r w:rsidR="005B5EDC">
        <w:t xml:space="preserve"> </w:t>
      </w:r>
      <w:r w:rsidR="001E1C2E" w:rsidRPr="004C326F">
        <w:t xml:space="preserve">amendment to the </w:t>
      </w:r>
      <w:r w:rsidR="004C5128">
        <w:t xml:space="preserve">existing </w:t>
      </w:r>
      <w:r w:rsidR="001E1C2E" w:rsidRPr="004C326F">
        <w:t>mandatory compositional, labelling or other requirements for FSMPs.</w:t>
      </w:r>
      <w:r w:rsidR="0053464E">
        <w:br w:type="page"/>
      </w:r>
    </w:p>
    <w:p w14:paraId="28B75581" w14:textId="77777777" w:rsidR="00B41613" w:rsidRDefault="00B41613" w:rsidP="00B41613">
      <w:pPr>
        <w:pStyle w:val="Heading1"/>
        <w:numPr>
          <w:ilvl w:val="0"/>
          <w:numId w:val="21"/>
        </w:numPr>
        <w:ind w:left="567" w:hanging="567"/>
      </w:pPr>
      <w:bookmarkStart w:id="12" w:name="_Toc65509055"/>
      <w:bookmarkStart w:id="13" w:name="_Toc65504945"/>
      <w:bookmarkStart w:id="14" w:name="_Toc65840472"/>
      <w:bookmarkStart w:id="15" w:name="_Toc68868636"/>
      <w:bookmarkEnd w:id="10"/>
      <w:r>
        <w:lastRenderedPageBreak/>
        <w:t>Introduction</w:t>
      </w:r>
      <w:bookmarkEnd w:id="12"/>
      <w:bookmarkEnd w:id="13"/>
      <w:bookmarkEnd w:id="14"/>
      <w:bookmarkEnd w:id="15"/>
    </w:p>
    <w:p w14:paraId="2FD304AF" w14:textId="32F29AE1" w:rsidR="00B41613" w:rsidRPr="00B41613" w:rsidRDefault="0053464E" w:rsidP="00B41613">
      <w:pPr>
        <w:pStyle w:val="Heading2"/>
        <w:numPr>
          <w:ilvl w:val="1"/>
          <w:numId w:val="22"/>
        </w:numPr>
      </w:pPr>
      <w:bookmarkStart w:id="16" w:name="_Toc300761890"/>
      <w:bookmarkStart w:id="17" w:name="_Toc300933419"/>
      <w:bookmarkStart w:id="18" w:name="_Toc65840473"/>
      <w:bookmarkStart w:id="19" w:name="_Toc68868637"/>
      <w:r w:rsidRPr="0053464E">
        <w:t>The Applicant</w:t>
      </w:r>
      <w:bookmarkEnd w:id="16"/>
      <w:bookmarkEnd w:id="17"/>
      <w:bookmarkEnd w:id="18"/>
      <w:bookmarkEnd w:id="19"/>
    </w:p>
    <w:p w14:paraId="0305E74E" w14:textId="34FDCA42" w:rsidR="00C157AA" w:rsidRPr="00F33BB8" w:rsidRDefault="00C157AA" w:rsidP="00442E6A">
      <w:pPr>
        <w:rPr>
          <w:color w:val="00B050"/>
        </w:rPr>
      </w:pPr>
      <w:r w:rsidRPr="00C157AA">
        <w:t xml:space="preserve">ChromaDex </w:t>
      </w:r>
      <w:r w:rsidR="00B11F0A">
        <w:t>is</w:t>
      </w:r>
      <w:r w:rsidR="00B11F0A" w:rsidRPr="00C157AA">
        <w:t xml:space="preserve"> </w:t>
      </w:r>
      <w:r w:rsidRPr="00C157AA">
        <w:t>a g</w:t>
      </w:r>
      <w:r w:rsidR="00F320A2">
        <w:t xml:space="preserve">lobal company specialising in </w:t>
      </w:r>
      <w:r w:rsidRPr="00C157AA">
        <w:rPr>
          <w:rFonts w:cs="Arial"/>
          <w:lang w:val="en-US"/>
        </w:rPr>
        <w:t>discover</w:t>
      </w:r>
      <w:r w:rsidR="00F320A2">
        <w:rPr>
          <w:rFonts w:cs="Arial"/>
          <w:lang w:val="en-US"/>
        </w:rPr>
        <w:t>ing</w:t>
      </w:r>
      <w:r w:rsidRPr="00C157AA">
        <w:rPr>
          <w:rFonts w:cs="Arial"/>
          <w:lang w:val="en-US"/>
        </w:rPr>
        <w:t>, acquiri</w:t>
      </w:r>
      <w:r w:rsidR="00F320A2">
        <w:rPr>
          <w:rFonts w:cs="Arial"/>
          <w:lang w:val="en-US"/>
        </w:rPr>
        <w:t>ng, developing, and commercialis</w:t>
      </w:r>
      <w:r w:rsidRPr="00C157AA">
        <w:rPr>
          <w:rFonts w:cs="Arial"/>
          <w:lang w:val="en-US"/>
        </w:rPr>
        <w:t>ing patented and proprietary ingredients that address the dietary supplement, food, beverage, skin care and pharmaceutical markets.</w:t>
      </w:r>
    </w:p>
    <w:p w14:paraId="6AD74803" w14:textId="07DCF700" w:rsidR="0053464E" w:rsidRDefault="0053464E" w:rsidP="00B41613">
      <w:pPr>
        <w:pStyle w:val="Heading2"/>
        <w:numPr>
          <w:ilvl w:val="1"/>
          <w:numId w:val="22"/>
        </w:numPr>
      </w:pPr>
      <w:bookmarkStart w:id="20" w:name="_Toc300761891"/>
      <w:bookmarkStart w:id="21" w:name="_Toc300933420"/>
      <w:bookmarkStart w:id="22" w:name="_Toc65840474"/>
      <w:bookmarkStart w:id="23" w:name="_Toc68868638"/>
      <w:r w:rsidRPr="0053464E">
        <w:t xml:space="preserve">The </w:t>
      </w:r>
      <w:r w:rsidRPr="00C157AA">
        <w:t>Application</w:t>
      </w:r>
      <w:bookmarkEnd w:id="20"/>
      <w:bookmarkEnd w:id="21"/>
      <w:bookmarkEnd w:id="22"/>
      <w:bookmarkEnd w:id="23"/>
    </w:p>
    <w:p w14:paraId="5A58EA05" w14:textId="139E0DF5" w:rsidR="00205068" w:rsidRDefault="00CA42F7" w:rsidP="00442E6A">
      <w:pPr>
        <w:rPr>
          <w:szCs w:val="22"/>
        </w:rPr>
      </w:pPr>
      <w:r>
        <w:rPr>
          <w:szCs w:val="22"/>
        </w:rPr>
        <w:t xml:space="preserve">The purpose of this </w:t>
      </w:r>
      <w:r w:rsidR="00ED3C06">
        <w:rPr>
          <w:szCs w:val="22"/>
        </w:rPr>
        <w:t>a</w:t>
      </w:r>
      <w:r w:rsidR="0055795D" w:rsidRPr="0055795D">
        <w:rPr>
          <w:szCs w:val="22"/>
        </w:rPr>
        <w:t>pplication is to amend the Code to permit the use of nicotinamide riboside chloride</w:t>
      </w:r>
      <w:r w:rsidR="0055795D">
        <w:rPr>
          <w:szCs w:val="22"/>
        </w:rPr>
        <w:t xml:space="preserve"> (NRC)</w:t>
      </w:r>
      <w:r w:rsidR="0055795D" w:rsidRPr="0055795D">
        <w:rPr>
          <w:szCs w:val="22"/>
        </w:rPr>
        <w:t xml:space="preserve"> as a </w:t>
      </w:r>
      <w:r w:rsidR="00992294">
        <w:rPr>
          <w:szCs w:val="22"/>
        </w:rPr>
        <w:t xml:space="preserve">new </w:t>
      </w:r>
      <w:r w:rsidR="0055795D" w:rsidRPr="0055795D">
        <w:rPr>
          <w:szCs w:val="22"/>
        </w:rPr>
        <w:t>form of</w:t>
      </w:r>
      <w:r w:rsidR="00CC5352">
        <w:rPr>
          <w:szCs w:val="22"/>
        </w:rPr>
        <w:t xml:space="preserve"> v</w:t>
      </w:r>
      <w:r w:rsidR="002F31B5">
        <w:rPr>
          <w:szCs w:val="22"/>
        </w:rPr>
        <w:t>itamin</w:t>
      </w:r>
      <w:r w:rsidR="0055795D" w:rsidRPr="0055795D">
        <w:rPr>
          <w:szCs w:val="22"/>
        </w:rPr>
        <w:t xml:space="preserve"> </w:t>
      </w:r>
      <w:r w:rsidR="002F31B5">
        <w:rPr>
          <w:szCs w:val="22"/>
        </w:rPr>
        <w:t xml:space="preserve">B3 </w:t>
      </w:r>
      <w:r w:rsidR="00BE07B7">
        <w:rPr>
          <w:szCs w:val="22"/>
        </w:rPr>
        <w:t>in Food for S</w:t>
      </w:r>
      <w:r w:rsidR="0055795D" w:rsidRPr="0055795D">
        <w:rPr>
          <w:szCs w:val="22"/>
        </w:rPr>
        <w:t xml:space="preserve">pecial </w:t>
      </w:r>
      <w:r w:rsidR="00BE07B7">
        <w:rPr>
          <w:szCs w:val="22"/>
        </w:rPr>
        <w:t>Medical P</w:t>
      </w:r>
      <w:r w:rsidR="0055795D" w:rsidRPr="0055795D">
        <w:rPr>
          <w:szCs w:val="22"/>
        </w:rPr>
        <w:t>urposes</w:t>
      </w:r>
      <w:r w:rsidR="0055795D">
        <w:rPr>
          <w:szCs w:val="22"/>
        </w:rPr>
        <w:t xml:space="preserve"> (FSMPs)</w:t>
      </w:r>
      <w:r w:rsidR="0055795D" w:rsidRPr="0055795D">
        <w:rPr>
          <w:szCs w:val="22"/>
        </w:rPr>
        <w:t xml:space="preserve">. </w:t>
      </w:r>
      <w:r w:rsidR="00205068">
        <w:rPr>
          <w:szCs w:val="22"/>
        </w:rPr>
        <w:t xml:space="preserve">NRC is a precursor </w:t>
      </w:r>
      <w:r w:rsidR="00DF75D0">
        <w:rPr>
          <w:szCs w:val="22"/>
        </w:rPr>
        <w:t>to</w:t>
      </w:r>
      <w:r w:rsidR="00205068">
        <w:rPr>
          <w:szCs w:val="22"/>
        </w:rPr>
        <w:t xml:space="preserve"> nicotinamide adenine </w:t>
      </w:r>
      <w:r w:rsidR="00205068" w:rsidRPr="00955C64">
        <w:rPr>
          <w:szCs w:val="22"/>
        </w:rPr>
        <w:t>dinucleotide (</w:t>
      </w:r>
      <w:r w:rsidR="00205068" w:rsidRPr="00955C64">
        <w:rPr>
          <w:bCs/>
          <w:szCs w:val="22"/>
        </w:rPr>
        <w:t>NAD</w:t>
      </w:r>
      <w:r w:rsidR="00DF75D0" w:rsidRPr="00ED1783">
        <w:rPr>
          <w:vertAlign w:val="superscript"/>
        </w:rPr>
        <w:t>+</w:t>
      </w:r>
      <w:r w:rsidR="00205068" w:rsidRPr="00955C64">
        <w:rPr>
          <w:szCs w:val="22"/>
        </w:rPr>
        <w:t>)</w:t>
      </w:r>
      <w:r w:rsidR="00205068">
        <w:rPr>
          <w:szCs w:val="22"/>
        </w:rPr>
        <w:t xml:space="preserve"> in the human body and </w:t>
      </w:r>
      <w:r w:rsidR="00B11F0A">
        <w:rPr>
          <w:szCs w:val="22"/>
        </w:rPr>
        <w:t xml:space="preserve">is </w:t>
      </w:r>
      <w:r w:rsidR="00205068">
        <w:rPr>
          <w:szCs w:val="22"/>
        </w:rPr>
        <w:t xml:space="preserve">intended as a source of vitamin B3 in </w:t>
      </w:r>
      <w:r w:rsidR="00B11F0A">
        <w:rPr>
          <w:szCs w:val="22"/>
        </w:rPr>
        <w:t>FSMPs</w:t>
      </w:r>
      <w:r w:rsidR="00BE07B7">
        <w:rPr>
          <w:szCs w:val="22"/>
        </w:rPr>
        <w:t xml:space="preserve"> </w:t>
      </w:r>
      <w:r w:rsidR="00205068">
        <w:rPr>
          <w:szCs w:val="22"/>
        </w:rPr>
        <w:t xml:space="preserve">that partially or totally replace the daily diet. </w:t>
      </w:r>
      <w:r w:rsidR="00170B0F">
        <w:rPr>
          <w:szCs w:val="22"/>
        </w:rPr>
        <w:t>FSMPs</w:t>
      </w:r>
      <w:r w:rsidR="00205068">
        <w:rPr>
          <w:szCs w:val="22"/>
        </w:rPr>
        <w:t xml:space="preserve"> are recommended to be used under medical supervision. </w:t>
      </w:r>
    </w:p>
    <w:p w14:paraId="5F981763" w14:textId="77777777" w:rsidR="00F320A2" w:rsidRDefault="00F320A2" w:rsidP="00442E6A">
      <w:pPr>
        <w:rPr>
          <w:szCs w:val="22"/>
        </w:rPr>
      </w:pPr>
    </w:p>
    <w:p w14:paraId="17BE72AC" w14:textId="5FDC762E" w:rsidR="00CE1D07" w:rsidRDefault="00ED3C06" w:rsidP="00442E6A">
      <w:pPr>
        <w:rPr>
          <w:szCs w:val="22"/>
        </w:rPr>
      </w:pPr>
      <w:r>
        <w:rPr>
          <w:szCs w:val="22"/>
        </w:rPr>
        <w:t>The a</w:t>
      </w:r>
      <w:r w:rsidR="00CE1D07">
        <w:rPr>
          <w:szCs w:val="22"/>
        </w:rPr>
        <w:t xml:space="preserve">pplication states that NRC performs an equivalent nutritional function </w:t>
      </w:r>
      <w:r w:rsidR="00E57B37">
        <w:rPr>
          <w:szCs w:val="22"/>
        </w:rPr>
        <w:t>to</w:t>
      </w:r>
      <w:r w:rsidR="00CE1D07">
        <w:rPr>
          <w:szCs w:val="22"/>
        </w:rPr>
        <w:t xml:space="preserve"> the two forms currently being used in FSMPs. It is further purported that NRC intake has fewer adverse effects or identified safety issues.</w:t>
      </w:r>
    </w:p>
    <w:p w14:paraId="177744F9" w14:textId="54E6E491" w:rsidR="00F320A2" w:rsidRDefault="00F320A2" w:rsidP="00442E6A">
      <w:pPr>
        <w:rPr>
          <w:szCs w:val="22"/>
        </w:rPr>
      </w:pPr>
    </w:p>
    <w:p w14:paraId="610FE35B" w14:textId="0A0FFA13" w:rsidR="00F320A2" w:rsidRDefault="00CA42F7" w:rsidP="00442E6A">
      <w:pPr>
        <w:rPr>
          <w:szCs w:val="22"/>
        </w:rPr>
      </w:pPr>
      <w:r>
        <w:rPr>
          <w:szCs w:val="22"/>
        </w:rPr>
        <w:t>This</w:t>
      </w:r>
      <w:r w:rsidR="00ED3C06">
        <w:rPr>
          <w:szCs w:val="22"/>
        </w:rPr>
        <w:t xml:space="preserve"> a</w:t>
      </w:r>
      <w:r w:rsidR="00457C6F">
        <w:rPr>
          <w:szCs w:val="22"/>
        </w:rPr>
        <w:t>pplication refers to ‘</w:t>
      </w:r>
      <w:r w:rsidR="00CC5352">
        <w:rPr>
          <w:szCs w:val="22"/>
        </w:rPr>
        <w:t>v</w:t>
      </w:r>
      <w:r w:rsidR="00F320A2">
        <w:rPr>
          <w:szCs w:val="22"/>
        </w:rPr>
        <w:t xml:space="preserve">itamin B3’, however </w:t>
      </w:r>
      <w:r w:rsidR="00457C6F">
        <w:rPr>
          <w:szCs w:val="22"/>
        </w:rPr>
        <w:t xml:space="preserve">the </w:t>
      </w:r>
      <w:r w:rsidR="001870B0" w:rsidRPr="001870B0">
        <w:rPr>
          <w:szCs w:val="22"/>
        </w:rPr>
        <w:t>Australia New Zealand Food Standards Code (the Code)</w:t>
      </w:r>
      <w:r w:rsidR="00457C6F">
        <w:rPr>
          <w:szCs w:val="22"/>
        </w:rPr>
        <w:t xml:space="preserve"> refers to ‘niacin’</w:t>
      </w:r>
      <w:r w:rsidR="00F320A2">
        <w:rPr>
          <w:szCs w:val="22"/>
        </w:rPr>
        <w:t xml:space="preserve"> </w:t>
      </w:r>
      <w:r w:rsidR="00B11F0A">
        <w:rPr>
          <w:szCs w:val="22"/>
        </w:rPr>
        <w:t xml:space="preserve">as the vitamin </w:t>
      </w:r>
      <w:r w:rsidR="00F320A2">
        <w:rPr>
          <w:szCs w:val="22"/>
        </w:rPr>
        <w:t xml:space="preserve">in its permissions, and herein the latter term will be referenced. Niacin is the generic descriptor commonly used for the closely related compounds </w:t>
      </w:r>
      <w:r w:rsidR="00F320A2" w:rsidRPr="00E95F03">
        <w:rPr>
          <w:szCs w:val="22"/>
        </w:rPr>
        <w:t>nicotinic acid (pyridine-3-carboxylic acid</w:t>
      </w:r>
      <w:r w:rsidR="002F1254">
        <w:rPr>
          <w:szCs w:val="22"/>
        </w:rPr>
        <w:t>) and</w:t>
      </w:r>
      <w:r w:rsidR="00F320A2" w:rsidRPr="00E95F03">
        <w:rPr>
          <w:szCs w:val="22"/>
        </w:rPr>
        <w:t xml:space="preserve"> nicotinamide (niacinamide or pyridine-3-carboxamide</w:t>
      </w:r>
      <w:r w:rsidR="002F1254">
        <w:rPr>
          <w:szCs w:val="22"/>
        </w:rPr>
        <w:t>)</w:t>
      </w:r>
      <w:r w:rsidR="00F320A2" w:rsidRPr="00E95F03">
        <w:rPr>
          <w:szCs w:val="22"/>
        </w:rPr>
        <w:t>.</w:t>
      </w:r>
      <w:r w:rsidR="00F320A2">
        <w:rPr>
          <w:szCs w:val="22"/>
        </w:rPr>
        <w:t xml:space="preserve"> These compounds are water soluble and naturally present in many foods. </w:t>
      </w:r>
    </w:p>
    <w:p w14:paraId="3991F326" w14:textId="77777777" w:rsidR="00F320A2" w:rsidRDefault="00F320A2" w:rsidP="00442E6A">
      <w:pPr>
        <w:rPr>
          <w:szCs w:val="22"/>
        </w:rPr>
      </w:pPr>
    </w:p>
    <w:p w14:paraId="2A298D11" w14:textId="681A321A" w:rsidR="00F320A2" w:rsidRDefault="00ED3C06" w:rsidP="00442E6A">
      <w:pPr>
        <w:rPr>
          <w:szCs w:val="22"/>
        </w:rPr>
      </w:pPr>
      <w:r>
        <w:rPr>
          <w:szCs w:val="22"/>
        </w:rPr>
        <w:t>This a</w:t>
      </w:r>
      <w:r w:rsidR="00F320A2">
        <w:rPr>
          <w:szCs w:val="22"/>
        </w:rPr>
        <w:t xml:space="preserve">pplication does not propose any amendment to the </w:t>
      </w:r>
      <w:r w:rsidR="00787773">
        <w:rPr>
          <w:szCs w:val="22"/>
        </w:rPr>
        <w:t xml:space="preserve">existing </w:t>
      </w:r>
      <w:r w:rsidR="00F320A2">
        <w:rPr>
          <w:szCs w:val="22"/>
        </w:rPr>
        <w:t xml:space="preserve">mandatory compositional, labelling or other requirements for FSMPs. </w:t>
      </w:r>
    </w:p>
    <w:p w14:paraId="76D539AA" w14:textId="1687CB23" w:rsidR="0053464E" w:rsidRPr="0053464E" w:rsidRDefault="00A56E34" w:rsidP="00B41613">
      <w:pPr>
        <w:pStyle w:val="Heading2"/>
        <w:numPr>
          <w:ilvl w:val="1"/>
          <w:numId w:val="22"/>
        </w:numPr>
      </w:pPr>
      <w:bookmarkStart w:id="24" w:name="_Toc300761892"/>
      <w:bookmarkStart w:id="25" w:name="_Toc300933421"/>
      <w:bookmarkStart w:id="26" w:name="_Toc65840475"/>
      <w:bookmarkStart w:id="27" w:name="_Toc68868639"/>
      <w:r>
        <w:t>The c</w:t>
      </w:r>
      <w:r w:rsidR="0053464E" w:rsidRPr="0053464E">
        <w:t xml:space="preserve">urrent </w:t>
      </w:r>
      <w:r w:rsidR="0086512A">
        <w:t>s</w:t>
      </w:r>
      <w:r w:rsidR="0053464E" w:rsidRPr="0053464E">
        <w:t>tandard</w:t>
      </w:r>
      <w:bookmarkEnd w:id="24"/>
      <w:bookmarkEnd w:id="25"/>
      <w:bookmarkEnd w:id="26"/>
      <w:bookmarkEnd w:id="27"/>
    </w:p>
    <w:p w14:paraId="469B57C9" w14:textId="4D93D3B9" w:rsidR="00565FBE" w:rsidRPr="00565FBE" w:rsidRDefault="00565FBE" w:rsidP="0042758B">
      <w:pPr>
        <w:pStyle w:val="Heading3"/>
      </w:pPr>
      <w:bookmarkStart w:id="28" w:name="_Toc65840476"/>
      <w:bookmarkStart w:id="29" w:name="_Toc68868640"/>
      <w:r>
        <w:t xml:space="preserve">1.3.1 </w:t>
      </w:r>
      <w:r w:rsidR="003F57CD" w:rsidRPr="003F57CD">
        <w:t>Australia and New Zealand</w:t>
      </w:r>
      <w:bookmarkEnd w:id="28"/>
      <w:bookmarkEnd w:id="29"/>
    </w:p>
    <w:p w14:paraId="0344D665" w14:textId="1FF25AAC" w:rsidR="006C6C00" w:rsidRDefault="006C6C00" w:rsidP="00442E6A">
      <w:pPr>
        <w:rPr>
          <w:color w:val="00B050"/>
        </w:rPr>
      </w:pPr>
      <w:r w:rsidRPr="0086512A">
        <w:rPr>
          <w:rFonts w:cs="Arial"/>
          <w:color w:val="000000"/>
          <w:szCs w:val="22"/>
          <w:lang w:eastAsia="en-GB" w:bidi="ar-SA"/>
        </w:rPr>
        <w:t>Australian and New Zealand food laws require food for sale to comply with the following requirements</w:t>
      </w:r>
      <w:r w:rsidR="00156C95">
        <w:rPr>
          <w:rFonts w:cs="Arial"/>
          <w:color w:val="000000"/>
          <w:szCs w:val="22"/>
          <w:lang w:eastAsia="en-GB" w:bidi="ar-SA"/>
        </w:rPr>
        <w:t xml:space="preserve"> in the Code</w:t>
      </w:r>
      <w:r w:rsidRPr="0086512A">
        <w:rPr>
          <w:rFonts w:cs="Arial"/>
          <w:color w:val="000000"/>
          <w:szCs w:val="22"/>
          <w:lang w:eastAsia="en-GB" w:bidi="ar-SA"/>
        </w:rPr>
        <w:t>.</w:t>
      </w:r>
      <w:r>
        <w:rPr>
          <w:rFonts w:ascii="Segoe UI" w:hAnsi="Segoe UI" w:cs="Segoe UI"/>
          <w:vanish/>
          <w:color w:val="444444"/>
          <w:sz w:val="20"/>
          <w:szCs w:val="20"/>
        </w:rPr>
        <w:t>Food for special medical purposes</w:t>
      </w:r>
      <w:r w:rsidR="00B11F0A">
        <w:rPr>
          <w:rFonts w:ascii="Segoe UI" w:hAnsi="Segoe UI" w:cs="Segoe UI"/>
          <w:vanish/>
          <w:color w:val="444444"/>
          <w:sz w:val="20"/>
          <w:szCs w:val="20"/>
        </w:rPr>
        <w:t xml:space="preserve"> Is there something missing here</w:t>
      </w:r>
    </w:p>
    <w:p w14:paraId="06A88314" w14:textId="77C3D7AF" w:rsidR="00FA5D7D" w:rsidRDefault="00FA5D7D" w:rsidP="002C30B8">
      <w:pPr>
        <w:pStyle w:val="Heading4"/>
        <w:numPr>
          <w:ilvl w:val="3"/>
          <w:numId w:val="22"/>
        </w:numPr>
      </w:pPr>
      <w:r w:rsidRPr="00E31C9D">
        <w:t>Permitted use</w:t>
      </w:r>
    </w:p>
    <w:p w14:paraId="5A901B78" w14:textId="667B236A" w:rsidR="00F17C65" w:rsidRDefault="002467D3" w:rsidP="00B34918">
      <w:r w:rsidRPr="00BE07B7">
        <w:t>Standard 2.9.5 – Food for Special Medical Purposes</w:t>
      </w:r>
      <w:r w:rsidRPr="00B34918">
        <w:rPr>
          <w:rFonts w:cs="Arial"/>
          <w:lang w:val="en-AU"/>
        </w:rPr>
        <w:t xml:space="preserve"> </w:t>
      </w:r>
      <w:r w:rsidR="002C30B8" w:rsidRPr="00B34918">
        <w:rPr>
          <w:rFonts w:cs="Arial"/>
          <w:lang w:val="en-AU"/>
        </w:rPr>
        <w:t xml:space="preserve">regulates FSMPs and is applicable to products for use by adults and children under medical supervision. </w:t>
      </w:r>
      <w:r w:rsidR="002C30B8">
        <w:t xml:space="preserve">Infant formula products, including those formulated for special dietary use, are </w:t>
      </w:r>
      <w:r w:rsidR="005C5C4E">
        <w:t>not considered to be FSMP</w:t>
      </w:r>
      <w:r w:rsidR="0021295D">
        <w:t xml:space="preserve">s and </w:t>
      </w:r>
      <w:r w:rsidR="00C5409C">
        <w:t>therefore</w:t>
      </w:r>
      <w:r w:rsidR="0021295D">
        <w:t xml:space="preserve">, </w:t>
      </w:r>
      <w:r w:rsidR="002C30B8">
        <w:t>Standard 2.9.5</w:t>
      </w:r>
      <w:r w:rsidR="0021295D">
        <w:t xml:space="preserve"> does not apply to infant formula products</w:t>
      </w:r>
      <w:r w:rsidR="002C30B8">
        <w:t xml:space="preserve">. All infant formula products are regulated by Standard 2.9.1. </w:t>
      </w:r>
    </w:p>
    <w:p w14:paraId="499C6C29" w14:textId="77777777" w:rsidR="002C30B8" w:rsidRDefault="002C30B8" w:rsidP="00442E6A"/>
    <w:p w14:paraId="2F3D0B17" w14:textId="1AA062AE" w:rsidR="00D6450B" w:rsidRDefault="00D6450B" w:rsidP="00442E6A">
      <w:pPr>
        <w:pStyle w:val="Default"/>
        <w:rPr>
          <w:sz w:val="22"/>
          <w:szCs w:val="22"/>
        </w:rPr>
      </w:pPr>
      <w:r>
        <w:rPr>
          <w:sz w:val="22"/>
          <w:szCs w:val="22"/>
        </w:rPr>
        <w:t>S</w:t>
      </w:r>
      <w:r w:rsidR="009A1FE5">
        <w:rPr>
          <w:sz w:val="22"/>
          <w:szCs w:val="22"/>
        </w:rPr>
        <w:t>ubs</w:t>
      </w:r>
      <w:r>
        <w:rPr>
          <w:sz w:val="22"/>
          <w:szCs w:val="22"/>
        </w:rPr>
        <w:t>ection 2.9.5—6</w:t>
      </w:r>
      <w:r w:rsidR="009A1FE5">
        <w:rPr>
          <w:sz w:val="22"/>
          <w:szCs w:val="22"/>
        </w:rPr>
        <w:t>(1)</w:t>
      </w:r>
      <w:r>
        <w:rPr>
          <w:sz w:val="22"/>
          <w:szCs w:val="22"/>
        </w:rPr>
        <w:t xml:space="preserve"> of the Code permits the addition of the following substances to FSMPs: </w:t>
      </w:r>
    </w:p>
    <w:p w14:paraId="53DF3A2F" w14:textId="1D0A7A64" w:rsidR="00D6450B" w:rsidRDefault="00D6450B" w:rsidP="00442E6A">
      <w:pPr>
        <w:pStyle w:val="Default"/>
        <w:spacing w:before="120" w:after="120"/>
        <w:ind w:left="1127" w:hanging="560"/>
        <w:rPr>
          <w:sz w:val="22"/>
          <w:szCs w:val="22"/>
        </w:rPr>
      </w:pPr>
      <w:r>
        <w:rPr>
          <w:i/>
          <w:iCs/>
          <w:sz w:val="22"/>
          <w:szCs w:val="22"/>
        </w:rPr>
        <w:tab/>
        <w:t xml:space="preserve">(a) a substance that is listed in Column 1 of the table to section S29—20 and that is in a corresponding form listed in Column 2 of that table; </w:t>
      </w:r>
    </w:p>
    <w:p w14:paraId="35C80C32" w14:textId="77777777" w:rsidR="00D6450B" w:rsidRDefault="00D6450B" w:rsidP="00442E6A">
      <w:pPr>
        <w:pStyle w:val="Default"/>
        <w:spacing w:before="120" w:after="120"/>
        <w:ind w:left="1134"/>
        <w:rPr>
          <w:sz w:val="22"/>
          <w:szCs w:val="22"/>
        </w:rPr>
      </w:pPr>
      <w:r>
        <w:rPr>
          <w:i/>
          <w:iCs/>
          <w:sz w:val="22"/>
          <w:szCs w:val="22"/>
        </w:rPr>
        <w:t xml:space="preserve">(b) a substance that is listed in Column 1 of the table to section S29—7 and that is in a corresponding form listed in Column 2 of that table; </w:t>
      </w:r>
    </w:p>
    <w:p w14:paraId="3C365B1E" w14:textId="60412FC1" w:rsidR="00D71620" w:rsidRDefault="00D6450B" w:rsidP="00442E6A">
      <w:pPr>
        <w:spacing w:before="120"/>
        <w:ind w:left="1134"/>
        <w:rPr>
          <w:i/>
          <w:iCs/>
          <w:szCs w:val="22"/>
        </w:rPr>
      </w:pPr>
      <w:r>
        <w:rPr>
          <w:i/>
          <w:iCs/>
          <w:szCs w:val="22"/>
        </w:rPr>
        <w:lastRenderedPageBreak/>
        <w:t>(c) any other substance, regardless of its form, that is permitted under this Code to be added to a food, if that substance is added in accordance with any applicable requirement of this Code.</w:t>
      </w:r>
    </w:p>
    <w:p w14:paraId="3FD1EA1C" w14:textId="77777777" w:rsidR="003B7CBD" w:rsidRDefault="003B7CBD" w:rsidP="00442E6A">
      <w:pPr>
        <w:spacing w:before="120"/>
        <w:ind w:left="1134"/>
        <w:rPr>
          <w:i/>
          <w:iCs/>
          <w:szCs w:val="22"/>
        </w:rPr>
      </w:pPr>
    </w:p>
    <w:p w14:paraId="06202BBD" w14:textId="66B2689A" w:rsidR="00CC5352" w:rsidRDefault="00ED3C06" w:rsidP="00442E6A">
      <w:pPr>
        <w:rPr>
          <w:szCs w:val="22"/>
        </w:rPr>
      </w:pPr>
      <w:r>
        <w:rPr>
          <w:szCs w:val="22"/>
        </w:rPr>
        <w:t>This a</w:t>
      </w:r>
      <w:r w:rsidR="00CC5352">
        <w:rPr>
          <w:szCs w:val="22"/>
        </w:rPr>
        <w:t xml:space="preserve">pplication seeks to include NRC as a permitted form of niacin in the table to </w:t>
      </w:r>
      <w:r w:rsidR="0027203D">
        <w:rPr>
          <w:szCs w:val="22"/>
        </w:rPr>
        <w:t xml:space="preserve">section </w:t>
      </w:r>
      <w:r w:rsidR="00CC5352">
        <w:rPr>
          <w:szCs w:val="22"/>
        </w:rPr>
        <w:t>S29</w:t>
      </w:r>
      <w:r w:rsidR="00927CAA">
        <w:rPr>
          <w:szCs w:val="22"/>
        </w:rPr>
        <w:t>—</w:t>
      </w:r>
      <w:r w:rsidR="00CC5352">
        <w:rPr>
          <w:szCs w:val="22"/>
        </w:rPr>
        <w:t>20</w:t>
      </w:r>
      <w:r w:rsidR="006C6199">
        <w:rPr>
          <w:szCs w:val="22"/>
        </w:rPr>
        <w:t>, which may be added to FSMPs</w:t>
      </w:r>
      <w:r w:rsidR="00CC5352">
        <w:rPr>
          <w:szCs w:val="22"/>
        </w:rPr>
        <w:t>.</w:t>
      </w:r>
    </w:p>
    <w:p w14:paraId="677EC83D" w14:textId="77777777" w:rsidR="003B7CBD" w:rsidRDefault="003B7CBD" w:rsidP="00442E6A">
      <w:pPr>
        <w:rPr>
          <w:szCs w:val="22"/>
        </w:rPr>
      </w:pPr>
    </w:p>
    <w:p w14:paraId="603760C4" w14:textId="029B7E0F" w:rsidR="00D77CDF" w:rsidRDefault="0010530D" w:rsidP="00442E6A">
      <w:pPr>
        <w:rPr>
          <w:szCs w:val="20"/>
        </w:rPr>
      </w:pPr>
      <w:r>
        <w:rPr>
          <w:szCs w:val="22"/>
        </w:rPr>
        <w:t>Section 2.9.5—7 includes compositional requirements for FSMPs that</w:t>
      </w:r>
      <w:r w:rsidR="00D77CDF">
        <w:rPr>
          <w:szCs w:val="22"/>
        </w:rPr>
        <w:t xml:space="preserve"> are </w:t>
      </w:r>
      <w:r>
        <w:rPr>
          <w:szCs w:val="22"/>
        </w:rPr>
        <w:t>represented as being suitable for use as a sole source of nutrition.</w:t>
      </w:r>
      <w:r w:rsidR="00ED3C06">
        <w:rPr>
          <w:szCs w:val="22"/>
        </w:rPr>
        <w:t xml:space="preserve"> This a</w:t>
      </w:r>
      <w:r w:rsidR="00D77CDF">
        <w:rPr>
          <w:szCs w:val="22"/>
        </w:rPr>
        <w:t xml:space="preserve">pplication does not seek to amend the </w:t>
      </w:r>
      <w:r w:rsidR="00BD1F09">
        <w:rPr>
          <w:szCs w:val="22"/>
        </w:rPr>
        <w:t xml:space="preserve">minimum </w:t>
      </w:r>
      <w:r w:rsidR="00D77CDF">
        <w:rPr>
          <w:szCs w:val="22"/>
        </w:rPr>
        <w:t xml:space="preserve">level </w:t>
      </w:r>
      <w:r w:rsidR="00BD1F09">
        <w:rPr>
          <w:szCs w:val="22"/>
        </w:rPr>
        <w:t xml:space="preserve">or impose a maximum </w:t>
      </w:r>
      <w:r w:rsidR="0027203D">
        <w:rPr>
          <w:szCs w:val="22"/>
        </w:rPr>
        <w:t xml:space="preserve">level </w:t>
      </w:r>
      <w:r w:rsidR="00D77CDF">
        <w:rPr>
          <w:szCs w:val="22"/>
        </w:rPr>
        <w:t xml:space="preserve">for niacin set in </w:t>
      </w:r>
      <w:r w:rsidR="002E5290">
        <w:rPr>
          <w:szCs w:val="22"/>
        </w:rPr>
        <w:t xml:space="preserve">the table to </w:t>
      </w:r>
      <w:r w:rsidR="002E5290" w:rsidRPr="002E5290">
        <w:rPr>
          <w:szCs w:val="22"/>
        </w:rPr>
        <w:t>section S29—21.</w:t>
      </w:r>
    </w:p>
    <w:p w14:paraId="16532191" w14:textId="2FCF59F5" w:rsidR="00D71620" w:rsidRPr="00FA5D7D" w:rsidRDefault="00D71620" w:rsidP="00FA5D7D">
      <w:pPr>
        <w:pStyle w:val="Heading4"/>
      </w:pPr>
      <w:r w:rsidRPr="00FA5D7D">
        <w:t xml:space="preserve">1.3.1.2 Identity and purity </w:t>
      </w:r>
    </w:p>
    <w:p w14:paraId="4839BFA9" w14:textId="44851F07" w:rsidR="0086512A" w:rsidRDefault="00D71620" w:rsidP="00442E6A">
      <w:pPr>
        <w:rPr>
          <w:rFonts w:cs="Arial"/>
          <w:color w:val="000000"/>
          <w:szCs w:val="22"/>
          <w:lang w:eastAsia="en-GB" w:bidi="ar-SA"/>
        </w:rPr>
      </w:pPr>
      <w:r w:rsidRPr="00D71620">
        <w:rPr>
          <w:rFonts w:cs="Arial"/>
          <w:color w:val="000000"/>
          <w:szCs w:val="22"/>
          <w:lang w:eastAsia="en-GB" w:bidi="ar-SA"/>
        </w:rPr>
        <w:t xml:space="preserve">Section 1.1.1—15 requires that a substance used as a nutritive substance must comply with any relevant specification set out in Schedule 3. </w:t>
      </w:r>
      <w:r>
        <w:rPr>
          <w:rFonts w:cs="Arial"/>
          <w:color w:val="000000"/>
          <w:szCs w:val="22"/>
          <w:lang w:eastAsia="en-GB" w:bidi="ar-SA"/>
        </w:rPr>
        <w:t>NRC</w:t>
      </w:r>
      <w:r w:rsidRPr="00D71620">
        <w:rPr>
          <w:rFonts w:cs="Arial"/>
          <w:color w:val="000000"/>
          <w:szCs w:val="22"/>
          <w:lang w:eastAsia="en-GB" w:bidi="ar-SA"/>
        </w:rPr>
        <w:t xml:space="preserve"> is intended as a new ingredient in </w:t>
      </w:r>
      <w:r w:rsidR="006A62FC">
        <w:rPr>
          <w:rFonts w:cs="Arial"/>
          <w:color w:val="000000"/>
          <w:szCs w:val="22"/>
          <w:lang w:eastAsia="en-GB" w:bidi="ar-SA"/>
        </w:rPr>
        <w:t xml:space="preserve">the </w:t>
      </w:r>
      <w:r w:rsidRPr="00D71620">
        <w:rPr>
          <w:rFonts w:cs="Arial"/>
          <w:color w:val="000000"/>
          <w:szCs w:val="22"/>
          <w:lang w:eastAsia="en-GB" w:bidi="ar-SA"/>
        </w:rPr>
        <w:t>Australia</w:t>
      </w:r>
      <w:r w:rsidR="006A62FC">
        <w:rPr>
          <w:rFonts w:cs="Arial"/>
          <w:color w:val="000000"/>
          <w:szCs w:val="22"/>
          <w:lang w:eastAsia="en-GB" w:bidi="ar-SA"/>
        </w:rPr>
        <w:t>n</w:t>
      </w:r>
      <w:r w:rsidRPr="00D71620">
        <w:rPr>
          <w:rFonts w:cs="Arial"/>
          <w:color w:val="000000"/>
          <w:szCs w:val="22"/>
          <w:lang w:eastAsia="en-GB" w:bidi="ar-SA"/>
        </w:rPr>
        <w:t xml:space="preserve"> and New Zealand food supply</w:t>
      </w:r>
      <w:r w:rsidR="006A62FC">
        <w:rPr>
          <w:rFonts w:cs="Arial"/>
          <w:color w:val="000000"/>
          <w:szCs w:val="22"/>
          <w:lang w:eastAsia="en-GB" w:bidi="ar-SA"/>
        </w:rPr>
        <w:t>,</w:t>
      </w:r>
      <w:r w:rsidRPr="00D71620">
        <w:rPr>
          <w:rFonts w:cs="Arial"/>
          <w:color w:val="000000"/>
          <w:szCs w:val="22"/>
          <w:lang w:eastAsia="en-GB" w:bidi="ar-SA"/>
        </w:rPr>
        <w:t xml:space="preserve"> and since there are no specifications currently provided in the Code, a specification will be required in Schedule 3.</w:t>
      </w:r>
    </w:p>
    <w:p w14:paraId="0F274001" w14:textId="77777777" w:rsidR="00D71620" w:rsidRPr="00FA5D7D" w:rsidRDefault="00D71620" w:rsidP="00FA5D7D">
      <w:pPr>
        <w:pStyle w:val="Heading4"/>
      </w:pPr>
      <w:r w:rsidRPr="00FA5D7D">
        <w:t xml:space="preserve">1.3.1.3 Labelling requirements </w:t>
      </w:r>
    </w:p>
    <w:p w14:paraId="7A66DBFF" w14:textId="58C08298" w:rsidR="00D71620" w:rsidRDefault="00D71620" w:rsidP="00442E6A">
      <w:pPr>
        <w:rPr>
          <w:rFonts w:cs="Arial"/>
          <w:color w:val="000000"/>
          <w:szCs w:val="22"/>
          <w:lang w:eastAsia="en-GB" w:bidi="ar-SA"/>
        </w:rPr>
      </w:pPr>
      <w:r w:rsidRPr="00D71620">
        <w:rPr>
          <w:rFonts w:cs="Arial"/>
          <w:color w:val="000000"/>
          <w:szCs w:val="22"/>
          <w:lang w:eastAsia="en-GB" w:bidi="ar-SA"/>
        </w:rPr>
        <w:t>Paragraph 1.1.1—10(8) requires that food for sale must comply with all relevant labelling requirements in the Code for that food.</w:t>
      </w:r>
    </w:p>
    <w:p w14:paraId="6C5EF4FB" w14:textId="77777777" w:rsidR="003B7CBD" w:rsidRDefault="003B7CBD" w:rsidP="00442E6A">
      <w:pPr>
        <w:rPr>
          <w:rFonts w:cs="Arial"/>
          <w:color w:val="000000"/>
          <w:szCs w:val="22"/>
          <w:lang w:eastAsia="en-GB" w:bidi="ar-SA"/>
        </w:rPr>
      </w:pPr>
    </w:p>
    <w:p w14:paraId="035EF86C" w14:textId="2473B47A" w:rsidR="00D71620" w:rsidRDefault="00F17C65" w:rsidP="00442E6A">
      <w:r>
        <w:t xml:space="preserve">As stated above, paragraph </w:t>
      </w:r>
      <w:r w:rsidR="00244998">
        <w:t>2.9.5</w:t>
      </w:r>
      <w:r w:rsidR="00244998">
        <w:rPr>
          <w:rFonts w:cs="Arial"/>
        </w:rPr>
        <w:t>―</w:t>
      </w:r>
      <w:r w:rsidR="00244998">
        <w:t>3(b) states t</w:t>
      </w:r>
      <w:r w:rsidR="005E7E98">
        <w:t>h</w:t>
      </w:r>
      <w:r w:rsidR="00187207">
        <w:t xml:space="preserve">at unless the contrary intention appears, </w:t>
      </w:r>
      <w:r w:rsidR="005E7E98" w:rsidRPr="00BE07B7">
        <w:t xml:space="preserve">Part 1.2 – Labelling and Other Information Requirements </w:t>
      </w:r>
      <w:r w:rsidR="00187207">
        <w:t xml:space="preserve">of the Code </w:t>
      </w:r>
      <w:r w:rsidR="005E7E98">
        <w:t>do</w:t>
      </w:r>
      <w:r w:rsidR="00187207">
        <w:t>es</w:t>
      </w:r>
      <w:r w:rsidR="005E7E98">
        <w:t xml:space="preserve"> not apply</w:t>
      </w:r>
      <w:r w:rsidR="00244998">
        <w:t xml:space="preserve"> to FSMP</w:t>
      </w:r>
      <w:r w:rsidR="004B695B">
        <w:t>s</w:t>
      </w:r>
      <w:r w:rsidR="005E7E98">
        <w:t xml:space="preserve">. </w:t>
      </w:r>
      <w:r w:rsidR="004B695B">
        <w:t xml:space="preserve">However, </w:t>
      </w:r>
      <w:r w:rsidR="00187207">
        <w:t xml:space="preserve">Division 4 of Standard 2.9.5 sets out </w:t>
      </w:r>
      <w:r w:rsidR="00244998">
        <w:t xml:space="preserve">labelling requirements </w:t>
      </w:r>
      <w:r w:rsidR="00187207">
        <w:t>specific to FSMP</w:t>
      </w:r>
      <w:r w:rsidR="004B695B">
        <w:t>s</w:t>
      </w:r>
      <w:r w:rsidR="00187207">
        <w:t xml:space="preserve">. </w:t>
      </w:r>
      <w:r w:rsidR="00FC09B0">
        <w:t>This a</w:t>
      </w:r>
      <w:r w:rsidR="002E5290">
        <w:t>pplication does not seek to amend any labelling requirements for FSMPs.</w:t>
      </w:r>
    </w:p>
    <w:p w14:paraId="7B98B2AC" w14:textId="6AC915DC" w:rsidR="00565FBE" w:rsidRPr="00565FBE" w:rsidRDefault="00D71620" w:rsidP="00863020">
      <w:pPr>
        <w:pStyle w:val="Heading3"/>
      </w:pPr>
      <w:bookmarkStart w:id="30" w:name="_Toc65840477"/>
      <w:bookmarkStart w:id="31" w:name="_Toc68868641"/>
      <w:r w:rsidRPr="00565FBE">
        <w:t xml:space="preserve">1.3.2 </w:t>
      </w:r>
      <w:r w:rsidR="002431C7" w:rsidRPr="00565FBE">
        <w:t>International Standards</w:t>
      </w:r>
      <w:bookmarkEnd w:id="30"/>
      <w:bookmarkEnd w:id="31"/>
    </w:p>
    <w:p w14:paraId="777FACB1" w14:textId="008FC43A" w:rsidR="000B7EFC" w:rsidRPr="00F63959" w:rsidRDefault="000B7EFC" w:rsidP="00442E6A">
      <w:pPr>
        <w:rPr>
          <w:rFonts w:cs="Arial"/>
          <w:b/>
          <w:bCs/>
          <w:iCs/>
          <w:color w:val="000000"/>
          <w:szCs w:val="22"/>
          <w:lang w:eastAsia="en-GB" w:bidi="ar-SA"/>
        </w:rPr>
      </w:pPr>
      <w:r w:rsidRPr="000B7EFC">
        <w:rPr>
          <w:rFonts w:cs="Arial"/>
          <w:color w:val="000000"/>
          <w:szCs w:val="22"/>
          <w:lang w:eastAsia="en-GB" w:bidi="ar-SA"/>
        </w:rPr>
        <w:t>In developing food regulatory measures, FSANZ must have regard to the promotion of</w:t>
      </w:r>
      <w:r>
        <w:rPr>
          <w:rFonts w:cs="Arial"/>
          <w:color w:val="000000"/>
          <w:szCs w:val="22"/>
          <w:lang w:eastAsia="en-GB" w:bidi="ar-SA"/>
        </w:rPr>
        <w:t xml:space="preserve"> </w:t>
      </w:r>
      <w:r w:rsidRPr="000B7EFC">
        <w:rPr>
          <w:rFonts w:cs="Arial"/>
          <w:color w:val="000000"/>
          <w:szCs w:val="22"/>
          <w:lang w:eastAsia="en-GB" w:bidi="ar-SA"/>
        </w:rPr>
        <w:t>consistency between domestic and international food standards.</w:t>
      </w:r>
    </w:p>
    <w:p w14:paraId="65381DD6" w14:textId="431BAA08" w:rsidR="000B7EFC" w:rsidRPr="00FA5D7D" w:rsidRDefault="000B7EFC" w:rsidP="00FA5D7D">
      <w:pPr>
        <w:pStyle w:val="Heading4"/>
      </w:pPr>
      <w:r w:rsidRPr="00FA5D7D">
        <w:t>1.3.2.1 Codex Alimentarius (Codex)</w:t>
      </w:r>
    </w:p>
    <w:p w14:paraId="155A4CD0" w14:textId="6437334F" w:rsidR="0027203D" w:rsidRDefault="000B7EFC" w:rsidP="00442E6A">
      <w:pPr>
        <w:rPr>
          <w:rFonts w:cs="Arial"/>
          <w:color w:val="000000"/>
          <w:szCs w:val="22"/>
          <w:lang w:eastAsia="en-GB" w:bidi="ar-SA"/>
        </w:rPr>
      </w:pPr>
      <w:r>
        <w:rPr>
          <w:rFonts w:cs="Arial"/>
          <w:color w:val="000000"/>
          <w:szCs w:val="22"/>
          <w:lang w:eastAsia="en-GB" w:bidi="ar-SA"/>
        </w:rPr>
        <w:t>Codex</w:t>
      </w:r>
      <w:r w:rsidRPr="000B7EFC">
        <w:rPr>
          <w:rFonts w:cs="Arial"/>
          <w:color w:val="000000"/>
          <w:szCs w:val="22"/>
          <w:lang w:eastAsia="en-GB" w:bidi="ar-SA"/>
        </w:rPr>
        <w:t xml:space="preserve"> has </w:t>
      </w:r>
      <w:r w:rsidR="00BD1F09">
        <w:rPr>
          <w:rFonts w:cs="Arial"/>
          <w:color w:val="000000"/>
          <w:szCs w:val="22"/>
          <w:lang w:eastAsia="en-GB" w:bidi="ar-SA"/>
        </w:rPr>
        <w:t xml:space="preserve">not </w:t>
      </w:r>
      <w:r w:rsidRPr="000B7EFC">
        <w:rPr>
          <w:rFonts w:cs="Arial"/>
          <w:color w:val="000000"/>
          <w:szCs w:val="22"/>
          <w:lang w:eastAsia="en-GB" w:bidi="ar-SA"/>
        </w:rPr>
        <w:t xml:space="preserve">established compositional standards relating to foods which may be considered FSMPs internationally, </w:t>
      </w:r>
      <w:r w:rsidR="00BD1F09">
        <w:rPr>
          <w:rFonts w:cs="Arial"/>
          <w:color w:val="000000"/>
          <w:szCs w:val="22"/>
          <w:lang w:eastAsia="en-GB" w:bidi="ar-SA"/>
        </w:rPr>
        <w:t xml:space="preserve">except for </w:t>
      </w:r>
      <w:r w:rsidRPr="000B7EFC">
        <w:rPr>
          <w:rFonts w:cs="Arial"/>
          <w:color w:val="000000"/>
          <w:szCs w:val="22"/>
          <w:lang w:eastAsia="en-GB" w:bidi="ar-SA"/>
        </w:rPr>
        <w:t>foods for use in weight control diets (CXS 181</w:t>
      </w:r>
      <w:r w:rsidR="00927CAA">
        <w:rPr>
          <w:szCs w:val="22"/>
        </w:rPr>
        <w:t>—</w:t>
      </w:r>
      <w:r w:rsidRPr="000B7EFC">
        <w:rPr>
          <w:rFonts w:cs="Arial"/>
          <w:color w:val="000000"/>
          <w:szCs w:val="22"/>
          <w:lang w:eastAsia="en-GB" w:bidi="ar-SA"/>
        </w:rPr>
        <w:t>1991) and very low energy diets for weight reduction (CXS 203</w:t>
      </w:r>
      <w:r w:rsidR="00BD1F09">
        <w:rPr>
          <w:szCs w:val="22"/>
        </w:rPr>
        <w:t>–</w:t>
      </w:r>
      <w:r w:rsidRPr="000B7EFC">
        <w:rPr>
          <w:rFonts w:cs="Arial"/>
          <w:color w:val="000000"/>
          <w:szCs w:val="22"/>
          <w:lang w:eastAsia="en-GB" w:bidi="ar-SA"/>
        </w:rPr>
        <w:t>1995)</w:t>
      </w:r>
      <w:r w:rsidR="006C51AD">
        <w:rPr>
          <w:rStyle w:val="FootnoteReference"/>
          <w:rFonts w:cs="Arial"/>
          <w:color w:val="000000"/>
          <w:szCs w:val="22"/>
          <w:lang w:eastAsia="en-GB" w:bidi="ar-SA"/>
        </w:rPr>
        <w:footnoteReference w:id="2"/>
      </w:r>
      <w:r w:rsidRPr="000B7EFC">
        <w:rPr>
          <w:rFonts w:cs="Arial"/>
          <w:color w:val="000000"/>
          <w:szCs w:val="22"/>
          <w:lang w:eastAsia="en-GB" w:bidi="ar-SA"/>
        </w:rPr>
        <w:t xml:space="preserve">. In Australia and New Zealand, </w:t>
      </w:r>
      <w:r w:rsidR="001870B0">
        <w:rPr>
          <w:rFonts w:cs="Arial"/>
          <w:color w:val="000000"/>
          <w:szCs w:val="22"/>
          <w:lang w:eastAsia="en-GB" w:bidi="ar-SA"/>
        </w:rPr>
        <w:t>t</w:t>
      </w:r>
      <w:r w:rsidR="00047BD5">
        <w:rPr>
          <w:rFonts w:cs="Arial"/>
          <w:color w:val="000000"/>
          <w:szCs w:val="22"/>
          <w:lang w:eastAsia="en-GB" w:bidi="ar-SA"/>
        </w:rPr>
        <w:t>he definition of FSMPs in section 1.1.2—5 excludes</w:t>
      </w:r>
      <w:r w:rsidR="00047BD5" w:rsidRPr="000B7EFC">
        <w:rPr>
          <w:rFonts w:cs="Arial"/>
          <w:color w:val="000000"/>
          <w:szCs w:val="22"/>
          <w:lang w:eastAsia="en-GB" w:bidi="ar-SA"/>
        </w:rPr>
        <w:t xml:space="preserve"> </w:t>
      </w:r>
      <w:r w:rsidRPr="000B7EFC">
        <w:rPr>
          <w:rFonts w:cs="Arial"/>
          <w:color w:val="000000"/>
          <w:szCs w:val="22"/>
          <w:lang w:eastAsia="en-GB" w:bidi="ar-SA"/>
        </w:rPr>
        <w:t>foods which are formulated and represented for the dietary management of obesity or overweight.</w:t>
      </w:r>
      <w:r w:rsidR="0027203D">
        <w:rPr>
          <w:rFonts w:cs="Arial"/>
          <w:color w:val="000000"/>
          <w:szCs w:val="22"/>
          <w:lang w:eastAsia="en-GB" w:bidi="ar-SA"/>
        </w:rPr>
        <w:t xml:space="preserve"> </w:t>
      </w:r>
      <w:r w:rsidRPr="000B7EFC">
        <w:rPr>
          <w:rFonts w:cs="Arial"/>
          <w:color w:val="000000"/>
          <w:szCs w:val="22"/>
          <w:lang w:eastAsia="en-GB" w:bidi="ar-SA"/>
        </w:rPr>
        <w:t xml:space="preserve">Irrespective of the current requirements of </w:t>
      </w:r>
      <w:r w:rsidR="009C2726">
        <w:rPr>
          <w:rFonts w:cs="Arial"/>
          <w:color w:val="000000"/>
          <w:szCs w:val="22"/>
          <w:lang w:eastAsia="en-GB" w:bidi="ar-SA"/>
        </w:rPr>
        <w:t>the Code</w:t>
      </w:r>
      <w:r w:rsidRPr="000B7EFC">
        <w:rPr>
          <w:rFonts w:cs="Arial"/>
          <w:color w:val="000000"/>
          <w:szCs w:val="22"/>
          <w:lang w:eastAsia="en-GB" w:bidi="ar-SA"/>
        </w:rPr>
        <w:t xml:space="preserve">, the abovementioned Codex standards do not specify permitted forms for nutrients, including niacin. </w:t>
      </w:r>
    </w:p>
    <w:p w14:paraId="13922661" w14:textId="77777777" w:rsidR="0027203D" w:rsidRDefault="0027203D" w:rsidP="00442E6A">
      <w:pPr>
        <w:rPr>
          <w:rFonts w:cs="Arial"/>
          <w:color w:val="000000"/>
          <w:szCs w:val="22"/>
          <w:lang w:eastAsia="en-GB" w:bidi="ar-SA"/>
        </w:rPr>
      </w:pPr>
    </w:p>
    <w:p w14:paraId="3D3038C9" w14:textId="528A807F" w:rsidR="0027203D" w:rsidRPr="000B7EFC" w:rsidRDefault="0027203D" w:rsidP="00442E6A">
      <w:pPr>
        <w:rPr>
          <w:rFonts w:cs="Arial"/>
          <w:color w:val="000000"/>
          <w:szCs w:val="22"/>
          <w:lang w:eastAsia="en-GB" w:bidi="ar-SA"/>
        </w:rPr>
      </w:pPr>
      <w:r>
        <w:rPr>
          <w:rFonts w:cs="Arial"/>
          <w:color w:val="000000"/>
          <w:szCs w:val="22"/>
          <w:lang w:eastAsia="en-GB" w:bidi="ar-SA"/>
        </w:rPr>
        <w:t>Codex has established a list of permitted forms for nutrients for FSMPs for infants and young children</w:t>
      </w:r>
      <w:r w:rsidR="00C82E1E">
        <w:rPr>
          <w:rFonts w:cs="Arial"/>
          <w:color w:val="000000"/>
          <w:szCs w:val="22"/>
          <w:lang w:eastAsia="en-GB" w:bidi="ar-SA"/>
        </w:rPr>
        <w:t xml:space="preserve"> (</w:t>
      </w:r>
      <w:r w:rsidR="00C82E1E" w:rsidRPr="00C82E1E">
        <w:rPr>
          <w:rFonts w:cs="Arial"/>
          <w:color w:val="000000"/>
          <w:szCs w:val="22"/>
          <w:lang w:eastAsia="en-GB" w:bidi="ar-SA"/>
        </w:rPr>
        <w:t>CXS 72-1981; CXG 10-1979)</w:t>
      </w:r>
      <w:r w:rsidR="00C82E1E">
        <w:rPr>
          <w:rStyle w:val="FootnoteReference"/>
          <w:rFonts w:cs="Arial"/>
          <w:color w:val="000000"/>
          <w:szCs w:val="22"/>
          <w:lang w:eastAsia="en-GB" w:bidi="ar-SA"/>
        </w:rPr>
        <w:footnoteReference w:id="3"/>
      </w:r>
      <w:r w:rsidR="00C82E1E" w:rsidRPr="00C82E1E">
        <w:rPr>
          <w:rFonts w:cs="Arial"/>
          <w:color w:val="000000"/>
          <w:szCs w:val="22"/>
          <w:lang w:eastAsia="en-GB" w:bidi="ar-SA"/>
        </w:rPr>
        <w:t>.</w:t>
      </w:r>
      <w:r w:rsidR="00C82E1E">
        <w:rPr>
          <w:rFonts w:cs="Arial"/>
          <w:color w:val="000000"/>
          <w:szCs w:val="22"/>
          <w:lang w:eastAsia="en-GB" w:bidi="ar-SA"/>
        </w:rPr>
        <w:t xml:space="preserve"> Permitted forms of niacin include nicotinic acid and nicotinamide. </w:t>
      </w:r>
    </w:p>
    <w:p w14:paraId="25B0A23A" w14:textId="5B452C15" w:rsidR="000B7EFC" w:rsidRPr="002F78C5" w:rsidRDefault="000B7EFC" w:rsidP="002F78C5">
      <w:pPr>
        <w:pStyle w:val="Heading4"/>
      </w:pPr>
      <w:r w:rsidRPr="002F78C5">
        <w:lastRenderedPageBreak/>
        <w:t>1.3.2.2 United States</w:t>
      </w:r>
      <w:r w:rsidR="00A73400" w:rsidRPr="002F78C5">
        <w:t xml:space="preserve"> (US)</w:t>
      </w:r>
    </w:p>
    <w:p w14:paraId="08B8D10E" w14:textId="462C34EC" w:rsidR="00A73400" w:rsidRDefault="00A73400" w:rsidP="00442E6A">
      <w:pPr>
        <w:rPr>
          <w:szCs w:val="20"/>
        </w:rPr>
      </w:pPr>
      <w:r>
        <w:rPr>
          <w:szCs w:val="20"/>
        </w:rPr>
        <w:t xml:space="preserve">The </w:t>
      </w:r>
      <w:r w:rsidR="00FC09B0">
        <w:rPr>
          <w:szCs w:val="20"/>
        </w:rPr>
        <w:t>a</w:t>
      </w:r>
      <w:r>
        <w:rPr>
          <w:szCs w:val="20"/>
        </w:rPr>
        <w:t xml:space="preserve">pplicant’s NRC </w:t>
      </w:r>
      <w:r w:rsidRPr="00A73400">
        <w:rPr>
          <w:szCs w:val="20"/>
        </w:rPr>
        <w:t>has been determined as Generally Recognized as</w:t>
      </w:r>
      <w:r>
        <w:rPr>
          <w:szCs w:val="20"/>
        </w:rPr>
        <w:t xml:space="preserve"> </w:t>
      </w:r>
      <w:r w:rsidRPr="00A73400">
        <w:rPr>
          <w:szCs w:val="20"/>
        </w:rPr>
        <w:t xml:space="preserve">Safe (GRAS) in the </w:t>
      </w:r>
      <w:r>
        <w:rPr>
          <w:szCs w:val="20"/>
        </w:rPr>
        <w:t>US</w:t>
      </w:r>
      <w:r w:rsidRPr="00A73400">
        <w:rPr>
          <w:szCs w:val="20"/>
        </w:rPr>
        <w:t xml:space="preserve"> </w:t>
      </w:r>
      <w:r>
        <w:t xml:space="preserve">to be added to a number of foods (GRAS notice </w:t>
      </w:r>
      <w:hyperlink r:id="rId24" w:history="1">
        <w:r>
          <w:rPr>
            <w:rStyle w:val="Hyperlink"/>
          </w:rPr>
          <w:t>GRN635</w:t>
        </w:r>
      </w:hyperlink>
      <w:r w:rsidR="00DF4DFE">
        <w:rPr>
          <w:rStyle w:val="FootnoteReference"/>
        </w:rPr>
        <w:footnoteReference w:id="4"/>
      </w:r>
      <w:r w:rsidR="00DF4DFE">
        <w:t>)</w:t>
      </w:r>
      <w:r w:rsidR="00981F6F">
        <w:t xml:space="preserve"> </w:t>
      </w:r>
      <w:r w:rsidRPr="00A73400">
        <w:rPr>
          <w:szCs w:val="20"/>
        </w:rPr>
        <w:t>via the GRAS process system, with a US Food and Drug Administration (FDA) no questions</w:t>
      </w:r>
      <w:r>
        <w:rPr>
          <w:szCs w:val="20"/>
        </w:rPr>
        <w:t xml:space="preserve"> </w:t>
      </w:r>
      <w:r w:rsidRPr="00A73400">
        <w:rPr>
          <w:szCs w:val="20"/>
        </w:rPr>
        <w:t>letter</w:t>
      </w:r>
      <w:r w:rsidR="00932BB4">
        <w:rPr>
          <w:szCs w:val="20"/>
        </w:rPr>
        <w:t>.</w:t>
      </w:r>
    </w:p>
    <w:p w14:paraId="62DBCACE" w14:textId="31EDEA86" w:rsidR="00932BB4" w:rsidRPr="002F78C5" w:rsidRDefault="00932BB4" w:rsidP="002F78C5">
      <w:pPr>
        <w:pStyle w:val="Heading4"/>
      </w:pPr>
      <w:r w:rsidRPr="002F78C5">
        <w:t xml:space="preserve">1.3.2.3 </w:t>
      </w:r>
      <w:r w:rsidR="006C6C00" w:rsidRPr="002F78C5">
        <w:t>European Union (EU)</w:t>
      </w:r>
      <w:r w:rsidRPr="002F78C5">
        <w:t xml:space="preserve"> </w:t>
      </w:r>
    </w:p>
    <w:p w14:paraId="4A285043" w14:textId="0FBA49E2" w:rsidR="006C6C00" w:rsidRDefault="00932BB4" w:rsidP="00442E6A">
      <w:r>
        <w:t xml:space="preserve">NRC has been approved for use in the EU as a novel food when in </w:t>
      </w:r>
      <w:hyperlink r:id="rId25" w:history="1">
        <w:r w:rsidRPr="00B67957">
          <w:rPr>
            <w:rStyle w:val="Hyperlink"/>
          </w:rPr>
          <w:t>supplement form</w:t>
        </w:r>
      </w:hyperlink>
      <w:r w:rsidR="00DF4DFE">
        <w:rPr>
          <w:rStyle w:val="FootnoteReference"/>
        </w:rPr>
        <w:footnoteReference w:id="5"/>
      </w:r>
      <w:r w:rsidR="00DF4DFE">
        <w:t>.</w:t>
      </w:r>
    </w:p>
    <w:p w14:paraId="6E893A90" w14:textId="5B631168" w:rsidR="00AF387F" w:rsidRPr="00B41613" w:rsidRDefault="00741EFE" w:rsidP="00B41613">
      <w:pPr>
        <w:pStyle w:val="Heading2"/>
        <w:numPr>
          <w:ilvl w:val="1"/>
          <w:numId w:val="22"/>
        </w:numPr>
      </w:pPr>
      <w:bookmarkStart w:id="32" w:name="_Toc286391007"/>
      <w:bookmarkStart w:id="33" w:name="_Toc65840478"/>
      <w:bookmarkStart w:id="34" w:name="_Toc68868642"/>
      <w:bookmarkStart w:id="35" w:name="_Toc300933423"/>
      <w:bookmarkStart w:id="36" w:name="_Toc175381432"/>
      <w:r w:rsidRPr="00B41613">
        <w:t>Reasons for accepting A</w:t>
      </w:r>
      <w:r w:rsidR="00AF387F" w:rsidRPr="00B41613">
        <w:t>pplication</w:t>
      </w:r>
      <w:bookmarkEnd w:id="32"/>
      <w:bookmarkEnd w:id="33"/>
      <w:bookmarkEnd w:id="34"/>
      <w:r w:rsidR="00180C41" w:rsidRPr="00B41613">
        <w:t xml:space="preserve"> </w:t>
      </w:r>
      <w:bookmarkEnd w:id="35"/>
    </w:p>
    <w:p w14:paraId="70496542" w14:textId="4FDE7877" w:rsidR="00482F3F" w:rsidRDefault="00482F3F" w:rsidP="00B67957">
      <w:pPr>
        <w:pStyle w:val="Default"/>
        <w:spacing w:after="120"/>
        <w:jc w:val="both"/>
        <w:rPr>
          <w:color w:val="auto"/>
          <w:sz w:val="22"/>
          <w:szCs w:val="22"/>
        </w:rPr>
      </w:pPr>
      <w:bookmarkStart w:id="37" w:name="_Toc286391008"/>
      <w:bookmarkStart w:id="38" w:name="_Toc11735630"/>
      <w:bookmarkStart w:id="39" w:name="_Toc29883114"/>
      <w:bookmarkStart w:id="40" w:name="_Toc41906801"/>
      <w:bookmarkStart w:id="41" w:name="_Toc41907548"/>
      <w:bookmarkStart w:id="42" w:name="_Toc120358578"/>
      <w:bookmarkStart w:id="43" w:name="_Toc175381435"/>
      <w:bookmarkEnd w:id="5"/>
      <w:bookmarkEnd w:id="6"/>
      <w:bookmarkEnd w:id="7"/>
      <w:bookmarkEnd w:id="8"/>
      <w:bookmarkEnd w:id="9"/>
      <w:bookmarkEnd w:id="36"/>
      <w:r>
        <w:rPr>
          <w:color w:val="auto"/>
          <w:sz w:val="22"/>
          <w:szCs w:val="22"/>
        </w:rPr>
        <w:t xml:space="preserve"> The </w:t>
      </w:r>
      <w:r w:rsidR="00FC09B0">
        <w:rPr>
          <w:color w:val="auto"/>
          <w:sz w:val="22"/>
          <w:szCs w:val="22"/>
        </w:rPr>
        <w:t>a</w:t>
      </w:r>
      <w:r>
        <w:rPr>
          <w:color w:val="auto"/>
          <w:sz w:val="22"/>
          <w:szCs w:val="22"/>
        </w:rPr>
        <w:t xml:space="preserve">pplication was accepted for assessment because: </w:t>
      </w:r>
    </w:p>
    <w:p w14:paraId="4ABE7EED" w14:textId="7A449481" w:rsidR="00482F3F" w:rsidRPr="00B41613" w:rsidRDefault="00482F3F" w:rsidP="00442E6A">
      <w:pPr>
        <w:pStyle w:val="Default"/>
        <w:numPr>
          <w:ilvl w:val="0"/>
          <w:numId w:val="13"/>
        </w:numPr>
        <w:spacing w:before="120" w:after="120"/>
        <w:ind w:left="714" w:hanging="357"/>
        <w:jc w:val="both"/>
        <w:rPr>
          <w:color w:val="auto"/>
          <w:sz w:val="22"/>
          <w:szCs w:val="22"/>
        </w:rPr>
      </w:pPr>
      <w:r w:rsidRPr="00B41613">
        <w:rPr>
          <w:color w:val="auto"/>
          <w:sz w:val="22"/>
          <w:szCs w:val="22"/>
        </w:rPr>
        <w:t xml:space="preserve">it complied with the procedural requirements under subsection 22(2) </w:t>
      </w:r>
      <w:r w:rsidR="00B41613" w:rsidRPr="00B41613">
        <w:rPr>
          <w:color w:val="auto"/>
          <w:sz w:val="22"/>
          <w:szCs w:val="22"/>
        </w:rPr>
        <w:t xml:space="preserve">of the </w:t>
      </w:r>
      <w:r w:rsidR="00B41613">
        <w:rPr>
          <w:color w:val="auto"/>
          <w:sz w:val="22"/>
          <w:szCs w:val="22"/>
        </w:rPr>
        <w:t>FSANZ Act</w:t>
      </w:r>
    </w:p>
    <w:p w14:paraId="09181DF2" w14:textId="30DF1884" w:rsidR="00482F3F" w:rsidRDefault="00482F3F" w:rsidP="00442E6A">
      <w:pPr>
        <w:pStyle w:val="Default"/>
        <w:numPr>
          <w:ilvl w:val="0"/>
          <w:numId w:val="13"/>
        </w:numPr>
        <w:spacing w:before="120" w:after="120"/>
        <w:ind w:left="714" w:hanging="357"/>
        <w:jc w:val="both"/>
        <w:rPr>
          <w:color w:val="auto"/>
          <w:sz w:val="22"/>
          <w:szCs w:val="22"/>
        </w:rPr>
      </w:pPr>
      <w:r>
        <w:rPr>
          <w:color w:val="auto"/>
          <w:sz w:val="22"/>
          <w:szCs w:val="22"/>
        </w:rPr>
        <w:t xml:space="preserve">it related to a matter that warranted the variation of a food regulatory measure. </w:t>
      </w:r>
    </w:p>
    <w:p w14:paraId="0093F1A4" w14:textId="4A8C0B1B" w:rsidR="00DE79D9" w:rsidRDefault="00DE79D9" w:rsidP="00B41613">
      <w:pPr>
        <w:pStyle w:val="Heading2"/>
        <w:numPr>
          <w:ilvl w:val="1"/>
          <w:numId w:val="22"/>
        </w:numPr>
      </w:pPr>
      <w:bookmarkStart w:id="44" w:name="_Toc65840479"/>
      <w:bookmarkStart w:id="45" w:name="_Toc68868643"/>
      <w:r>
        <w:t>Procedure for assessment</w:t>
      </w:r>
      <w:bookmarkEnd w:id="44"/>
      <w:bookmarkEnd w:id="45"/>
    </w:p>
    <w:p w14:paraId="46A9C2E5" w14:textId="3EB5BD61" w:rsidR="00DE79D9" w:rsidRDefault="00DE79D9" w:rsidP="004112E2">
      <w:pPr>
        <w:jc w:val="both"/>
      </w:pPr>
      <w:r w:rsidRPr="00482F3F">
        <w:t xml:space="preserve">The </w:t>
      </w:r>
      <w:r w:rsidR="00170B0F">
        <w:t>a</w:t>
      </w:r>
      <w:r w:rsidRPr="00482F3F">
        <w:t xml:space="preserve">pplication is being assessed under the </w:t>
      </w:r>
      <w:r w:rsidR="00482F3F" w:rsidRPr="00482F3F">
        <w:t>General</w:t>
      </w:r>
      <w:r w:rsidRPr="00482F3F">
        <w:t xml:space="preserve"> Procedure.</w:t>
      </w:r>
    </w:p>
    <w:p w14:paraId="6806987E" w14:textId="69CB64E2" w:rsidR="00482F3F" w:rsidRDefault="00482F3F" w:rsidP="00DE79D9"/>
    <w:p w14:paraId="0A2FB45F" w14:textId="339BA347" w:rsidR="00AF387F" w:rsidRPr="00180C41" w:rsidRDefault="002516C4" w:rsidP="00AB3E3A">
      <w:pPr>
        <w:pStyle w:val="Heading1"/>
        <w:numPr>
          <w:ilvl w:val="0"/>
          <w:numId w:val="21"/>
        </w:numPr>
        <w:ind w:left="567" w:hanging="567"/>
      </w:pPr>
      <w:bookmarkStart w:id="46" w:name="_Toc300933424"/>
      <w:bookmarkStart w:id="47" w:name="_Toc65840480"/>
      <w:bookmarkStart w:id="48" w:name="_Toc68868644"/>
      <w:bookmarkEnd w:id="37"/>
      <w:bookmarkEnd w:id="46"/>
      <w:r>
        <w:t>Summary of Assessment</w:t>
      </w:r>
      <w:bookmarkEnd w:id="47"/>
      <w:bookmarkEnd w:id="48"/>
    </w:p>
    <w:p w14:paraId="24297180" w14:textId="3B74E51A" w:rsidR="00AB3E3A" w:rsidRPr="008E1CB5" w:rsidRDefault="004F69F6" w:rsidP="00BD1F09">
      <w:pPr>
        <w:pStyle w:val="Heading2"/>
        <w:numPr>
          <w:ilvl w:val="1"/>
          <w:numId w:val="34"/>
        </w:numPr>
      </w:pPr>
      <w:bookmarkStart w:id="49" w:name="_Toc65613719"/>
      <w:bookmarkStart w:id="50" w:name="_Toc65665495"/>
      <w:bookmarkStart w:id="51" w:name="_Toc65665592"/>
      <w:bookmarkStart w:id="52" w:name="_Toc65675448"/>
      <w:bookmarkStart w:id="53" w:name="_Toc65738942"/>
      <w:bookmarkStart w:id="54" w:name="_Toc65824816"/>
      <w:bookmarkStart w:id="55" w:name="_Toc65840481"/>
      <w:bookmarkStart w:id="56" w:name="_Toc65842397"/>
      <w:bookmarkStart w:id="57" w:name="_Toc65875477"/>
      <w:bookmarkStart w:id="58" w:name="_Toc66705938"/>
      <w:bookmarkStart w:id="59" w:name="_Toc66716379"/>
      <w:bookmarkStart w:id="60" w:name="_Toc68808941"/>
      <w:bookmarkStart w:id="61" w:name="_Toc68810905"/>
      <w:bookmarkStart w:id="62" w:name="_Toc68855806"/>
      <w:bookmarkStart w:id="63" w:name="_Toc68859269"/>
      <w:bookmarkStart w:id="64" w:name="_Toc286391009"/>
      <w:bookmarkStart w:id="65" w:name="_Toc300933425"/>
      <w:bookmarkStart w:id="66" w:name="_Toc65840482"/>
      <w:bookmarkStart w:id="67" w:name="_Toc68868645"/>
      <w:bookmarkStart w:id="68" w:name="_Toc120358583"/>
      <w:bookmarkStart w:id="69" w:name="_Toc175381440"/>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8E1CB5">
        <w:t xml:space="preserve">Risk </w:t>
      </w:r>
      <w:r w:rsidR="00741EFE" w:rsidRPr="008E1CB5">
        <w:t>a</w:t>
      </w:r>
      <w:r w:rsidRPr="008E1CB5">
        <w:t>ssessment</w:t>
      </w:r>
      <w:bookmarkEnd w:id="64"/>
      <w:bookmarkEnd w:id="65"/>
      <w:bookmarkEnd w:id="66"/>
      <w:bookmarkEnd w:id="67"/>
      <w:r w:rsidRPr="008E1CB5">
        <w:t xml:space="preserve"> </w:t>
      </w:r>
      <w:bookmarkEnd w:id="68"/>
      <w:bookmarkEnd w:id="69"/>
    </w:p>
    <w:p w14:paraId="65B857CE" w14:textId="77777777" w:rsidR="00851A3C" w:rsidRPr="00766D5D" w:rsidRDefault="00851A3C" w:rsidP="00766D5D">
      <w:r w:rsidRPr="00766D5D">
        <w:t>FSANZ conducted a comprehensive assessment following the internationally recognised risk analysis framework based on a weight of evidence approach, combining information and scientific evidence provided by the applicant with independent sources. The risk assessment is included in Supporting Document 1 (SD1). This section provides a summary of these assessments.</w:t>
      </w:r>
    </w:p>
    <w:p w14:paraId="6891EE6C" w14:textId="4EFA5B32" w:rsidR="00851A3C" w:rsidRDefault="00851A3C" w:rsidP="00766D5D"/>
    <w:p w14:paraId="1816D697" w14:textId="180B9498" w:rsidR="00A7793A" w:rsidRDefault="00A7793A" w:rsidP="00A7793A">
      <w:r>
        <w:t xml:space="preserve">To determine the bioavailability of NRC, FSANZ considered studies in humans and in laboratory animals on the effect of NRC supplementation on the concentration of nicotinamide adenine dinucleotide (NAD+) and metabolites in blood and/or urine. In human studies, NRC supplementation (100 to 2000 mg/day) in volunteers was associated with increases in blood concentrations of NAD+ and several NAD+ metabolites, relative to baseline values or placebo treatments showing that it is a bioavailable form of niacin. However, none of the studies included a </w:t>
      </w:r>
      <w:r w:rsidR="00744B2C">
        <w:t xml:space="preserve">comparator </w:t>
      </w:r>
      <w:r>
        <w:t xml:space="preserve">treatment group receiving nicotinic acid (NA) or nicotinamide (Nam) so it was not possible to establish bioequivalence to already permitted forms of niacin in the Code. </w:t>
      </w:r>
    </w:p>
    <w:p w14:paraId="3F330D03" w14:textId="77777777" w:rsidR="00A7793A" w:rsidRDefault="00A7793A" w:rsidP="00A7793A"/>
    <w:p w14:paraId="248701BC" w14:textId="4DD9075C" w:rsidR="00A7793A" w:rsidRDefault="007275DE" w:rsidP="00A7793A">
      <w:r w:rsidRPr="00E76F33">
        <w:t>NRC has been shown to increase hepatic NAD</w:t>
      </w:r>
      <w:r w:rsidRPr="00E76F33">
        <w:rPr>
          <w:vertAlign w:val="superscript"/>
        </w:rPr>
        <w:t>+</w:t>
      </w:r>
      <w:r w:rsidRPr="00E76F33">
        <w:t xml:space="preserve"> levels in mice</w:t>
      </w:r>
      <w:r w:rsidRPr="00EC6B49">
        <w:t xml:space="preserve"> </w:t>
      </w:r>
      <w:r>
        <w:t>and</w:t>
      </w:r>
      <w:r w:rsidRPr="004E0B3A">
        <w:t xml:space="preserve"> </w:t>
      </w:r>
      <w:r>
        <w:t xml:space="preserve">increase </w:t>
      </w:r>
      <w:r w:rsidRPr="004E0B3A">
        <w:t xml:space="preserve">plasma MeNam concentrations </w:t>
      </w:r>
      <w:r>
        <w:t xml:space="preserve">in other animal studies. </w:t>
      </w:r>
      <w:r w:rsidR="00A7793A">
        <w:t xml:space="preserve">A 90-day rat study showed that similar doses of NRC or Nam caused an elevation of plasma Nam and MeNam. </w:t>
      </w:r>
    </w:p>
    <w:p w14:paraId="6A5A545F" w14:textId="77777777" w:rsidR="00A7793A" w:rsidRDefault="00A7793A" w:rsidP="00A7793A"/>
    <w:p w14:paraId="2663C0DE" w14:textId="1AE114C2" w:rsidR="00A7793A" w:rsidRDefault="00A7793A" w:rsidP="00A7793A">
      <w:r>
        <w:lastRenderedPageBreak/>
        <w:t>FSANZ concludes that based on the available evidence in laboratory animals and humans</w:t>
      </w:r>
      <w:r w:rsidR="00EE29C4">
        <w:t>,</w:t>
      </w:r>
      <w:r>
        <w:t xml:space="preserve"> NRC is a bioavailable form of niacin which at intakes ranging from 100 to 2000 mg/day in humans would be expected to support normal physiological function. In the absence of human studies to establish the bioavailability of NRC compared to already permitted forms of niacin, FSANZ cannot judge with certainty the extent to which lower NRC intakes which matc</w:t>
      </w:r>
      <w:r w:rsidR="00744B2C">
        <w:t>h</w:t>
      </w:r>
      <w:r>
        <w:t xml:space="preserve"> adult </w:t>
      </w:r>
      <w:r w:rsidR="00EE29C4">
        <w:t xml:space="preserve">recommended </w:t>
      </w:r>
      <w:r w:rsidR="00012AE5">
        <w:t xml:space="preserve">dietary </w:t>
      </w:r>
      <w:r w:rsidR="00EE29C4">
        <w:t>intake levels</w:t>
      </w:r>
      <w:r w:rsidR="00012AE5">
        <w:t xml:space="preserve"> </w:t>
      </w:r>
      <w:r>
        <w:t xml:space="preserve">for niacin (14 mg/day in women, 16 mg/day in men) would support essential requirements, when it is the only form of vitamin B3 in the diet.  </w:t>
      </w:r>
    </w:p>
    <w:p w14:paraId="761C9794" w14:textId="77777777" w:rsidR="00A7793A" w:rsidRDefault="00A7793A" w:rsidP="00A7793A"/>
    <w:p w14:paraId="41EFF3D7" w14:textId="44EF783B" w:rsidR="00A7793A" w:rsidRDefault="00A7793A" w:rsidP="00A7793A">
      <w:r>
        <w:t xml:space="preserve">The acute oral toxicity of NRC is low. No adverse effects were observed in rats gavaged with NRC at 300 mg/kg bw/day for 90 days, but statistically significant changes in some clinical pathology parameters were observed in rats dosed with 1000 mg/kg bw/day. In the same study, a number of adverse effects were observed in rats dosed with 3000 mg/kg bw/day, but the same adverse changes occurred in a positive control group of rats treated with an equimolar dose of Nam (1260 mg/kg bw/day). </w:t>
      </w:r>
      <w:r w:rsidR="007275DE">
        <w:t>Additional animal studies also</w:t>
      </w:r>
      <w:r w:rsidR="007275DE" w:rsidRPr="00E76F33">
        <w:t xml:space="preserve"> </w:t>
      </w:r>
      <w:r w:rsidR="007275DE">
        <w:t>supported</w:t>
      </w:r>
      <w:r w:rsidR="007275DE" w:rsidRPr="00E76F33">
        <w:t xml:space="preserve"> a </w:t>
      </w:r>
      <w:r w:rsidR="007275DE" w:rsidRPr="00082564">
        <w:t>no</w:t>
      </w:r>
      <w:r w:rsidR="007275DE">
        <w:t xml:space="preserve"> </w:t>
      </w:r>
      <w:r w:rsidR="007275DE" w:rsidRPr="00082564">
        <w:t>observed</w:t>
      </w:r>
      <w:r w:rsidR="007275DE">
        <w:t xml:space="preserve"> </w:t>
      </w:r>
      <w:r w:rsidR="007275DE" w:rsidRPr="00082564">
        <w:t>adverse</w:t>
      </w:r>
      <w:r w:rsidR="007275DE">
        <w:t xml:space="preserve"> </w:t>
      </w:r>
      <w:r w:rsidR="007275DE" w:rsidRPr="00082564">
        <w:t>effect level </w:t>
      </w:r>
      <w:r w:rsidR="007275DE">
        <w:t>(NOAEL)</w:t>
      </w:r>
      <w:r w:rsidR="007275DE" w:rsidRPr="00E76F33">
        <w:t xml:space="preserve"> of 300 mg/kg bw/day. </w:t>
      </w:r>
    </w:p>
    <w:p w14:paraId="2D6A4850" w14:textId="77777777" w:rsidR="00A7793A" w:rsidRDefault="00A7793A" w:rsidP="00A7793A"/>
    <w:p w14:paraId="6164EA4B" w14:textId="77777777" w:rsidR="00A7793A" w:rsidRDefault="00A7793A" w:rsidP="00A7793A">
      <w:r>
        <w:t>No chronic toxicity/carcinogenicity studies of NRC were submitted or located from other sources, but NRC was not genotoxic and no pre-neoplastic lesions were observed in the 90 day rat study. In a developmental study in rats, the fetal NOAEL was identified as 750 mg/kg bw/day on the basis of decreased fetal bodyweights at 1500 mg/kg bw/day, together with increases in the incidence of abnormalities commonly observed in association with maternal toxicity. In a one-generation reproductive study in rats, the NOAEL for fertility and reproductive performance was 12 000 ppm in the parental diet, the highest dose tested, equivalent to 675.2 mg/kg bw/day NRC in P generation males and 1088.4 mg/kg bw/day NRC in P generation females.</w:t>
      </w:r>
    </w:p>
    <w:p w14:paraId="777D3927" w14:textId="77777777" w:rsidR="00A7793A" w:rsidRDefault="00A7793A" w:rsidP="00A7793A"/>
    <w:p w14:paraId="1FF5BF8F" w14:textId="780D7979" w:rsidR="00A7793A" w:rsidRDefault="00A7793A" w:rsidP="00A7793A">
      <w:r>
        <w:t>In human tolerance studies of up to 12 weeks in duration, NRC was well tolerated at doses up to 2000 mg/day. No case reports of allergy were found on literature search, and NRC would not be expected to be an allergen, on the basis of its rapid metabolism to Nam and low molecular weight.</w:t>
      </w:r>
    </w:p>
    <w:p w14:paraId="31C2895F" w14:textId="77777777" w:rsidR="00A7793A" w:rsidRDefault="00A7793A" w:rsidP="00A7793A"/>
    <w:p w14:paraId="0F1CD2BD" w14:textId="784EBAE1" w:rsidR="00A7793A" w:rsidRDefault="00A7793A" w:rsidP="00A7793A">
      <w:r>
        <w:t>Since NRC is metabolised to Nam it is important to consider NRC intakes relative to  the upper level of intake (UL) for Nam. The maximum daily</w:t>
      </w:r>
      <w:r w:rsidR="00096125">
        <w:t xml:space="preserve"> intake of NRC proposed in the a</w:t>
      </w:r>
      <w:r>
        <w:t>pplication was 1000 mg/day, which assuming equimolar conversion, is equivalent to 420 mg Nam. This is less than half the UL for Nam in non-pregnant, non-lactating adults (900 mg), and is also below the UL for children aged 9-13 years (500 mg/day) and adolescents aged 14-18 years (750 mg/day). It is above the UL for children aged 1-3 years (150 mg/day) and 4-8 years (250 mg/day), however it is expected that FSMPs are prescribed by, and will be used under the supervision of medical practitioners</w:t>
      </w:r>
      <w:r w:rsidR="00096125">
        <w:t xml:space="preserve"> and dietitians</w:t>
      </w:r>
      <w:r>
        <w:t>, at intakes that would not exceed the UL.</w:t>
      </w:r>
    </w:p>
    <w:p w14:paraId="5FCD4C3D" w14:textId="77777777" w:rsidR="00A7793A" w:rsidRDefault="00A7793A" w:rsidP="00A7793A"/>
    <w:p w14:paraId="61F2A71C" w14:textId="1872B266" w:rsidR="00A7793A" w:rsidRDefault="00A7793A" w:rsidP="00A7793A">
      <w:r>
        <w:t xml:space="preserve">The margin of exposure (MOE) between the NOAEL of 750 mg/kg/day for fetal toxicity in a rat developmental study, and the maximum intake of 1000 mg/day NRC for a pregnant woman weighing 60 kg was 45. The corresponding MOE between the NOAEL in the one-generation reproductive toxicity in rats and proposed maximum human intake was approximately 66. On the basis of the low MOEs (&lt;100) use at the maximum proposed NRC intake level in pregnant or lactating women is not supported. However, as for paediatric use, lower intakes approximating </w:t>
      </w:r>
      <w:r w:rsidR="00EE29C4">
        <w:t xml:space="preserve">recommended intake levels </w:t>
      </w:r>
      <w:r>
        <w:t>of niacin,</w:t>
      </w:r>
      <w:r w:rsidR="00096125">
        <w:t xml:space="preserve"> prescribed and supervised by </w:t>
      </w:r>
      <w:r>
        <w:t>medical practitioner</w:t>
      </w:r>
      <w:r w:rsidR="00096125">
        <w:t xml:space="preserve">s </w:t>
      </w:r>
      <w:r w:rsidR="00096125">
        <w:lastRenderedPageBreak/>
        <w:t>and dietitians</w:t>
      </w:r>
      <w:r>
        <w:t xml:space="preserve">, do not represent a safety concern in pregnant or lactating women. </w:t>
      </w:r>
    </w:p>
    <w:p w14:paraId="3501CD0A" w14:textId="77777777" w:rsidR="00A7793A" w:rsidRDefault="00A7793A" w:rsidP="00A7793A"/>
    <w:p w14:paraId="7B4D4245" w14:textId="1ED7B607" w:rsidR="00A7793A" w:rsidRDefault="00A7793A" w:rsidP="00A7793A">
      <w:r>
        <w:t xml:space="preserve">In conclusion, FSANZ considers that based on the best available evidence in laboratory animals and humans, NRC is a bioavailable form of niacin which at intakes ranging from 100 to 2000 mg/day would be expected to support normal physiological function. However it was not possible to establish bioequivalence to forms of niacin already permitted in the Code. On that basis it is not possible for FSANZ to establish with certainty whether lower NRC intakes which match adult </w:t>
      </w:r>
      <w:r w:rsidR="00EE29C4">
        <w:t xml:space="preserve">recommended intake levels </w:t>
      </w:r>
      <w:r>
        <w:t>for niacin would support essential requirements, when it is the only form of vitamin B3 in the diet</w:t>
      </w:r>
      <w:r w:rsidR="00981F6F">
        <w:t xml:space="preserve"> (assuming the FSMP is also low in protein)</w:t>
      </w:r>
      <w:r>
        <w:t xml:space="preserve">. </w:t>
      </w:r>
    </w:p>
    <w:p w14:paraId="5DF443C8" w14:textId="77777777" w:rsidR="00A7793A" w:rsidRDefault="00A7793A" w:rsidP="00A7793A"/>
    <w:p w14:paraId="7ED92D17" w14:textId="5682B5B5" w:rsidR="00A7793A" w:rsidRDefault="00A7793A" w:rsidP="00A7793A">
      <w:r>
        <w:t xml:space="preserve">NRC is not expected to represent a safety concern when prescribed and used under medical supervision at intakes below the UL for Nam, and for pregnant or lactating women, at levels of intake consistent with </w:t>
      </w:r>
      <w:r w:rsidR="00EE29C4">
        <w:t xml:space="preserve">recommended intake levels </w:t>
      </w:r>
      <w:r>
        <w:t xml:space="preserve">for niacin. </w:t>
      </w:r>
    </w:p>
    <w:p w14:paraId="2E40FD43" w14:textId="17D07A7F" w:rsidR="004F69F6" w:rsidRDefault="0045556F" w:rsidP="00BD1F09">
      <w:pPr>
        <w:pStyle w:val="Heading2"/>
        <w:numPr>
          <w:ilvl w:val="1"/>
          <w:numId w:val="34"/>
        </w:numPr>
      </w:pPr>
      <w:bookmarkStart w:id="70" w:name="_Toc175381442"/>
      <w:bookmarkStart w:id="71" w:name="_Toc286391010"/>
      <w:bookmarkStart w:id="72" w:name="_Toc300933426"/>
      <w:bookmarkStart w:id="73" w:name="_Toc65840483"/>
      <w:bookmarkStart w:id="74" w:name="_Toc68868646"/>
      <w:bookmarkEnd w:id="70"/>
      <w:bookmarkEnd w:id="71"/>
      <w:bookmarkEnd w:id="72"/>
      <w:r>
        <w:t>R</w:t>
      </w:r>
      <w:r w:rsidR="00707E72">
        <w:t>isk m</w:t>
      </w:r>
      <w:r w:rsidR="008A35FB">
        <w:t>anagement</w:t>
      </w:r>
      <w:bookmarkEnd w:id="73"/>
      <w:bookmarkEnd w:id="74"/>
    </w:p>
    <w:p w14:paraId="33F80B97" w14:textId="41F64466" w:rsidR="0036087D" w:rsidRPr="00B14378" w:rsidRDefault="0036087D" w:rsidP="00766D5D">
      <w:r w:rsidRPr="0032486B">
        <w:rPr>
          <w:lang w:bidi="ar-SA"/>
        </w:rPr>
        <w:t xml:space="preserve">On the basis of </w:t>
      </w:r>
      <w:r w:rsidRPr="0032486B">
        <w:t xml:space="preserve">the findings of the risk assessment, FSANZ considers </w:t>
      </w:r>
      <w:r w:rsidRPr="0032486B">
        <w:rPr>
          <w:lang w:bidi="ar-SA"/>
        </w:rPr>
        <w:t xml:space="preserve">the use of NRC for the proposed purpose is both safe and technologically justified. </w:t>
      </w:r>
      <w:r w:rsidRPr="001C5EC8">
        <w:rPr>
          <w:szCs w:val="22"/>
        </w:rPr>
        <w:t>The risk management response to matters raised by the risk assessment are detailed below.</w:t>
      </w:r>
    </w:p>
    <w:p w14:paraId="5F41DBE4" w14:textId="08B10040" w:rsidR="00353999" w:rsidRDefault="00353999" w:rsidP="00353999">
      <w:pPr>
        <w:pStyle w:val="Heading3"/>
      </w:pPr>
      <w:bookmarkStart w:id="75" w:name="_Toc68868647"/>
      <w:r w:rsidRPr="00C15B4C">
        <w:rPr>
          <w:color w:val="auto"/>
        </w:rPr>
        <w:t xml:space="preserve">2.2.1 </w:t>
      </w:r>
      <w:r w:rsidRPr="00C15B4C">
        <w:rPr>
          <w:color w:val="auto"/>
        </w:rPr>
        <w:tab/>
      </w:r>
      <w:r>
        <w:t>Background to overarching risk management strategies</w:t>
      </w:r>
      <w:r w:rsidR="0036087D">
        <w:t xml:space="preserve"> in Standard 2.9.5</w:t>
      </w:r>
      <w:bookmarkEnd w:id="75"/>
      <w:r>
        <w:t xml:space="preserve"> </w:t>
      </w:r>
    </w:p>
    <w:p w14:paraId="29E19109" w14:textId="02E2649D" w:rsidR="00942902" w:rsidRPr="00E60611" w:rsidRDefault="00942902" w:rsidP="00766D5D">
      <w:bookmarkStart w:id="76" w:name="_Toc300761910"/>
      <w:r w:rsidRPr="00E60611">
        <w:t>Standard</w:t>
      </w:r>
      <w:r>
        <w:t xml:space="preserve"> 2.9.5</w:t>
      </w:r>
      <w:r w:rsidRPr="00E60611">
        <w:t xml:space="preserve"> regulates the sale, composition and labelling of foods specially formulated for the dietary management of individuals</w:t>
      </w:r>
      <w:r>
        <w:t xml:space="preserve"> (including children)</w:t>
      </w:r>
      <w:r w:rsidRPr="00E60611">
        <w:t xml:space="preserve"> with certain diseases, disorders or medical conditions. </w:t>
      </w:r>
      <w:r>
        <w:t xml:space="preserve">FSMPs are required when the dietary management of individuals cannot be easily or completely achieved with other dietary modification including the use of other special purpose foods. FSMPs includes formulated dietary products that are intended for use as the sole source of nutrition, either consumed orally or through an enteral route (e.g. naso-gastric tube), as well as specialised supplementary formulated products. </w:t>
      </w:r>
      <w:r w:rsidRPr="00E60611">
        <w:t xml:space="preserve">Food regulated by this Standard is intended to be used under medical supervision. </w:t>
      </w:r>
      <w:r>
        <w:t>Due to</w:t>
      </w:r>
      <w:r w:rsidRPr="00E60611">
        <w:t xml:space="preserve"> the specialised nature and purpose of these foods, this Standard </w:t>
      </w:r>
      <w:r>
        <w:t>also i</w:t>
      </w:r>
      <w:r w:rsidRPr="00E60611">
        <w:t xml:space="preserve">ncludes a restriction on the premises at which, and the persons by whom, </w:t>
      </w:r>
      <w:r>
        <w:t>FSMPs</w:t>
      </w:r>
      <w:r w:rsidRPr="00E60611">
        <w:t xml:space="preserve"> may be sold to consumers. </w:t>
      </w:r>
    </w:p>
    <w:p w14:paraId="4130348E" w14:textId="391B64A3" w:rsidR="004E00B6" w:rsidRDefault="004E00B6" w:rsidP="004E00B6">
      <w:pPr>
        <w:rPr>
          <w:lang w:bidi="ar-SA"/>
        </w:rPr>
      </w:pPr>
    </w:p>
    <w:p w14:paraId="61B3A14E" w14:textId="0B2049C8" w:rsidR="00353999" w:rsidRDefault="004E00B6" w:rsidP="00442E6A">
      <w:pPr>
        <w:rPr>
          <w:lang w:bidi="ar-SA"/>
        </w:rPr>
      </w:pPr>
      <w:r>
        <w:rPr>
          <w:lang w:bidi="ar-SA"/>
        </w:rPr>
        <w:t>N</w:t>
      </w:r>
      <w:r>
        <w:t xml:space="preserve">early all FSMPs are imported from the EU or US, with the majority from EU. In order to limit the impost on manufacturers and therefore ensure continued supply of these products to Australia and New Zealand, the </w:t>
      </w:r>
      <w:r w:rsidR="00942902">
        <w:t xml:space="preserve">existing </w:t>
      </w:r>
      <w:r>
        <w:t>compositional</w:t>
      </w:r>
      <w:r w:rsidR="00353999">
        <w:t xml:space="preserve"> (including permitted forms of nutrients)</w:t>
      </w:r>
      <w:r>
        <w:t xml:space="preserve"> and labelling requirements in Standard 2.9.5 </w:t>
      </w:r>
      <w:r w:rsidR="00353999">
        <w:t xml:space="preserve">harmonise where possible with overseas regulations. </w:t>
      </w:r>
    </w:p>
    <w:p w14:paraId="53574F35" w14:textId="77777777" w:rsidR="00353999" w:rsidRDefault="00353999" w:rsidP="00442E6A">
      <w:pPr>
        <w:rPr>
          <w:lang w:bidi="ar-SA"/>
        </w:rPr>
      </w:pPr>
    </w:p>
    <w:p w14:paraId="2BC5BC3E" w14:textId="57481643" w:rsidR="0001690A" w:rsidRDefault="00205AB7" w:rsidP="00442E6A">
      <w:r>
        <w:t xml:space="preserve">Standard 2.9.5 allows for manufacturers to vary the micronutrient composition of FSMPs from the specified limits for a specific medical purpose (including a particular medical </w:t>
      </w:r>
      <w:r w:rsidR="0036087D">
        <w:t xml:space="preserve">condition, disease or disorder) but with an additional labelling requirement that indicates which nutrient levels have been varied. </w:t>
      </w:r>
      <w:r w:rsidR="006958B9">
        <w:t>FSANZ</w:t>
      </w:r>
      <w:r w:rsidR="00470EB0">
        <w:t>’s</w:t>
      </w:r>
      <w:r w:rsidR="006958B9">
        <w:t xml:space="preserve"> previous assessments in the development of Standard 2.9.5 considered the potential risk of inadequate and excessive nutrient intakes in both children and adults to be minimal as FSMPs are used under the supervision of </w:t>
      </w:r>
      <w:r w:rsidR="0001690A">
        <w:t>medical practitioner</w:t>
      </w:r>
      <w:r w:rsidR="00470EB0">
        <w:t>s</w:t>
      </w:r>
      <w:r w:rsidR="0001690A">
        <w:t xml:space="preserve"> and dietitians,</w:t>
      </w:r>
      <w:r w:rsidR="006958B9">
        <w:t xml:space="preserve"> and the nutritional status of the patient is closely monitored.</w:t>
      </w:r>
      <w:r w:rsidR="0001690A">
        <w:t xml:space="preserve"> </w:t>
      </w:r>
    </w:p>
    <w:p w14:paraId="245D9208" w14:textId="21F2855A" w:rsidR="00856DA4" w:rsidRPr="003717CB" w:rsidRDefault="00856DA4" w:rsidP="003717CB">
      <w:pPr>
        <w:pStyle w:val="Heading3"/>
      </w:pPr>
      <w:bookmarkStart w:id="77" w:name="_Toc65840484"/>
      <w:bookmarkStart w:id="78" w:name="_Toc68868648"/>
      <w:r w:rsidRPr="00C15B4C">
        <w:rPr>
          <w:color w:val="auto"/>
        </w:rPr>
        <w:lastRenderedPageBreak/>
        <w:t>2.</w:t>
      </w:r>
      <w:r w:rsidR="006968AD" w:rsidRPr="00C15B4C">
        <w:rPr>
          <w:color w:val="auto"/>
        </w:rPr>
        <w:t>2</w:t>
      </w:r>
      <w:r w:rsidRPr="00C15B4C">
        <w:rPr>
          <w:color w:val="auto"/>
        </w:rPr>
        <w:t>.</w:t>
      </w:r>
      <w:r w:rsidR="00353999">
        <w:rPr>
          <w:color w:val="auto"/>
        </w:rPr>
        <w:t>2</w:t>
      </w:r>
      <w:r w:rsidRPr="00C15B4C">
        <w:rPr>
          <w:color w:val="auto"/>
        </w:rPr>
        <w:t xml:space="preserve"> </w:t>
      </w:r>
      <w:r w:rsidR="00BE36B4" w:rsidRPr="00C15B4C">
        <w:rPr>
          <w:color w:val="auto"/>
        </w:rPr>
        <w:tab/>
      </w:r>
      <w:r w:rsidR="003717CB" w:rsidRPr="00C15B4C">
        <w:rPr>
          <w:color w:val="auto"/>
        </w:rPr>
        <w:t>Required permission</w:t>
      </w:r>
      <w:r w:rsidRPr="00C15B4C">
        <w:rPr>
          <w:color w:val="auto"/>
        </w:rPr>
        <w:t xml:space="preserve"> for </w:t>
      </w:r>
      <w:r w:rsidR="00927174" w:rsidRPr="00C15B4C">
        <w:rPr>
          <w:color w:val="auto"/>
        </w:rPr>
        <w:t>substances that may be added to FS</w:t>
      </w:r>
      <w:r w:rsidR="00927174" w:rsidRPr="003717CB">
        <w:t>MPs</w:t>
      </w:r>
      <w:bookmarkEnd w:id="77"/>
      <w:bookmarkEnd w:id="78"/>
    </w:p>
    <w:p w14:paraId="15546419" w14:textId="13F8D950" w:rsidR="00557DEC" w:rsidRDefault="002E3B86" w:rsidP="00766D5D">
      <w:r w:rsidRPr="00766D5D">
        <w:t xml:space="preserve">The addition of new permitted forms of particular substances for use in FSMPs requires </w:t>
      </w:r>
      <w:r>
        <w:t xml:space="preserve">an </w:t>
      </w:r>
      <w:r w:rsidR="00B50905">
        <w:t>a</w:t>
      </w:r>
      <w:r>
        <w:t xml:space="preserve">pplication to FSANZ to amend the Code. </w:t>
      </w:r>
      <w:r w:rsidR="004E7C69" w:rsidRPr="00766D5D">
        <w:t xml:space="preserve">If permission to add a new form is sought, its bioavailability must be assessed and compared with the current permitted forms. Bioavailability in a nutritional context is the proportion of the ingested nutrient that is absorbed and utilised through normal metabolic pathways. </w:t>
      </w:r>
      <w:r w:rsidR="00557DEC" w:rsidRPr="00766D5D">
        <w:t>For</w:t>
      </w:r>
      <w:r w:rsidR="004E7C69" w:rsidRPr="00766D5D">
        <w:t xml:space="preserve"> niacin, </w:t>
      </w:r>
      <w:r w:rsidR="00557DEC" w:rsidRPr="00766D5D">
        <w:t>standard ‘equivalence’ factors are applied to allow for bioavailability and</w:t>
      </w:r>
      <w:r w:rsidR="004E7C69" w:rsidRPr="00766D5D">
        <w:t xml:space="preserve"> </w:t>
      </w:r>
      <w:r w:rsidR="00557DEC" w:rsidRPr="00766D5D">
        <w:t>bioconversion. The equivalents are totalled and compared to</w:t>
      </w:r>
      <w:r w:rsidR="00E002EC">
        <w:t xml:space="preserve"> appropriate</w:t>
      </w:r>
      <w:r w:rsidR="005E04F6">
        <w:t xml:space="preserve"> Nutrient Reference Values (</w:t>
      </w:r>
      <w:r w:rsidR="005E04F6" w:rsidRPr="005E04F6">
        <w:t>N</w:t>
      </w:r>
      <w:r w:rsidR="00557DEC" w:rsidRPr="00766D5D">
        <w:t>RVs</w:t>
      </w:r>
      <w:r w:rsidR="005E04F6" w:rsidRPr="005E04F6">
        <w:t>)</w:t>
      </w:r>
      <w:r w:rsidR="00557DEC" w:rsidRPr="00766D5D">
        <w:t xml:space="preserve"> expr</w:t>
      </w:r>
      <w:r w:rsidR="00FD2E45">
        <w:t>essed in units of equivalents i.e</w:t>
      </w:r>
      <w:r w:rsidR="00557DEC" w:rsidRPr="00766D5D">
        <w:t>. niacin equivalents</w:t>
      </w:r>
      <w:r w:rsidR="004E7C69" w:rsidRPr="00766D5D">
        <w:t>.</w:t>
      </w:r>
    </w:p>
    <w:p w14:paraId="20ED3A06" w14:textId="77777777" w:rsidR="00FD2E45" w:rsidRPr="00766D5D" w:rsidRDefault="00FD2E45" w:rsidP="00766D5D"/>
    <w:p w14:paraId="69E97CDE" w14:textId="66188C20" w:rsidR="00FD2E45" w:rsidRDefault="00FD2E45" w:rsidP="00FD2E45">
      <w:pPr>
        <w:rPr>
          <w:rFonts w:cs="Arial"/>
          <w:lang w:val="en-AU"/>
        </w:rPr>
      </w:pPr>
      <w:r>
        <w:t>This</w:t>
      </w:r>
      <w:r>
        <w:rPr>
          <w:rFonts w:cs="Arial"/>
          <w:lang w:val="en-AU"/>
        </w:rPr>
        <w:t xml:space="preserve"> a</w:t>
      </w:r>
      <w:r w:rsidRPr="00351E4F">
        <w:rPr>
          <w:rFonts w:cs="Arial"/>
          <w:lang w:val="en-AU"/>
        </w:rPr>
        <w:t>pplication states the intended purpose is for NRC to be used</w:t>
      </w:r>
      <w:r>
        <w:rPr>
          <w:rFonts w:cs="Arial"/>
          <w:lang w:val="en-AU"/>
        </w:rPr>
        <w:t xml:space="preserve"> as a permitted form of niacin</w:t>
      </w:r>
      <w:r w:rsidRPr="00351E4F">
        <w:rPr>
          <w:rFonts w:cs="Arial"/>
          <w:lang w:val="en-AU"/>
        </w:rPr>
        <w:t xml:space="preserve"> in </w:t>
      </w:r>
      <w:r>
        <w:rPr>
          <w:rFonts w:cs="Arial"/>
          <w:lang w:val="en-AU"/>
        </w:rPr>
        <w:t>FSMPs</w:t>
      </w:r>
      <w:r w:rsidRPr="00351E4F">
        <w:rPr>
          <w:rFonts w:cs="Arial"/>
          <w:lang w:val="en-AU"/>
        </w:rPr>
        <w:t xml:space="preserve"> for adults</w:t>
      </w:r>
      <w:r>
        <w:rPr>
          <w:rFonts w:cs="Arial"/>
          <w:lang w:val="en-AU"/>
        </w:rPr>
        <w:t xml:space="preserve">. </w:t>
      </w:r>
      <w:r w:rsidRPr="00351E4F">
        <w:rPr>
          <w:rFonts w:cs="Arial"/>
          <w:lang w:val="en-AU"/>
        </w:rPr>
        <w:t>FSANZ has considered the request within the existing regulatory arrangements which do not include any exceptions for children</w:t>
      </w:r>
      <w:r>
        <w:rPr>
          <w:rStyle w:val="FootnoteReference"/>
          <w:rFonts w:cs="Arial"/>
          <w:lang w:val="en-AU"/>
        </w:rPr>
        <w:footnoteReference w:id="6"/>
      </w:r>
      <w:r>
        <w:rPr>
          <w:rFonts w:cs="Arial"/>
          <w:lang w:val="en-AU"/>
        </w:rPr>
        <w:t xml:space="preserve">. </w:t>
      </w:r>
    </w:p>
    <w:p w14:paraId="56C4A820" w14:textId="17B96542" w:rsidR="00E57B37" w:rsidRDefault="00E57B37" w:rsidP="00FD2E45"/>
    <w:p w14:paraId="60226471" w14:textId="4C3C02D8" w:rsidR="00E57B37" w:rsidRDefault="00986C48" w:rsidP="00986C48">
      <w:r w:rsidRPr="00BD42B0">
        <w:t>FSANZ concludes that based on the</w:t>
      </w:r>
      <w:r>
        <w:t xml:space="preserve"> best</w:t>
      </w:r>
      <w:r w:rsidRPr="00BD42B0">
        <w:t xml:space="preserve"> available evidence</w:t>
      </w:r>
      <w:r w:rsidR="00FD2E45">
        <w:t>,</w:t>
      </w:r>
      <w:r>
        <w:t xml:space="preserve"> </w:t>
      </w:r>
      <w:r w:rsidRPr="00BD42B0">
        <w:t xml:space="preserve">NRC </w:t>
      </w:r>
      <w:r>
        <w:rPr>
          <w:szCs w:val="22"/>
        </w:rPr>
        <w:t xml:space="preserve">meets its stated purpose as a </w:t>
      </w:r>
      <w:r w:rsidR="00F6291C">
        <w:rPr>
          <w:szCs w:val="22"/>
        </w:rPr>
        <w:t xml:space="preserve">bioavailable </w:t>
      </w:r>
      <w:r>
        <w:rPr>
          <w:szCs w:val="22"/>
        </w:rPr>
        <w:t>form of niacin in FSMPs</w:t>
      </w:r>
      <w:r>
        <w:t>, which in humans would be expected to support normal physiological function</w:t>
      </w:r>
      <w:r w:rsidRPr="00BD42B0">
        <w:t>.</w:t>
      </w:r>
      <w:r>
        <w:t xml:space="preserve"> In the absence of </w:t>
      </w:r>
      <w:r w:rsidRPr="005E04F6">
        <w:t xml:space="preserve">controlled trials in humans demonstrating bioequivalence, </w:t>
      </w:r>
      <w:r w:rsidR="009836A7" w:rsidRPr="005E04F6">
        <w:t>from the available evidence and NRV standard equivalence factors</w:t>
      </w:r>
      <w:r w:rsidR="005E04F6" w:rsidRPr="00766D5D">
        <w:rPr>
          <w:rStyle w:val="FootnoteReference"/>
        </w:rPr>
        <w:footnoteReference w:id="7"/>
      </w:r>
      <w:r w:rsidR="005E04F6" w:rsidRPr="005E04F6">
        <w:t xml:space="preserve"> for</w:t>
      </w:r>
      <w:r w:rsidR="005E04F6">
        <w:t xml:space="preserve"> niacin</w:t>
      </w:r>
      <w:r w:rsidR="009836A7">
        <w:t xml:space="preserve">, </w:t>
      </w:r>
      <w:r>
        <w:t xml:space="preserve">it is reasonable to </w:t>
      </w:r>
      <w:r w:rsidR="00E57B37">
        <w:t xml:space="preserve">anticipate that </w:t>
      </w:r>
      <w:r w:rsidR="009836A7">
        <w:t>NRC would react similarly to</w:t>
      </w:r>
      <w:r>
        <w:t xml:space="preserve"> nicotinamide</w:t>
      </w:r>
      <w:r w:rsidR="009836A7">
        <w:t xml:space="preserve"> in the body</w:t>
      </w:r>
      <w:r>
        <w:t>.</w:t>
      </w:r>
      <w:r w:rsidR="00981F6F">
        <w:t xml:space="preserve"> </w:t>
      </w:r>
      <w:r w:rsidR="00404408">
        <w:t xml:space="preserve">As discussed above, the micronutrient composition of FSMPs can be varied from the specified limits, noting there is no prescribed maximum level for niacin equivalents. </w:t>
      </w:r>
    </w:p>
    <w:p w14:paraId="3998168C" w14:textId="77777777" w:rsidR="00E57B37" w:rsidRDefault="00E57B37" w:rsidP="00986C48"/>
    <w:p w14:paraId="5905DDBD" w14:textId="3A095450" w:rsidR="00F6291C" w:rsidRDefault="00BF6825" w:rsidP="00766D5D">
      <w:pPr>
        <w:widowControl/>
      </w:pPr>
      <w:r w:rsidRPr="00851A3C">
        <w:rPr>
          <w:szCs w:val="22"/>
        </w:rPr>
        <w:t xml:space="preserve">FSANZ concludes </w:t>
      </w:r>
      <w:r w:rsidRPr="00851A3C">
        <w:t xml:space="preserve">there is no evidence of a public health and safety concern associated with the </w:t>
      </w:r>
      <w:r w:rsidR="003D3005">
        <w:t xml:space="preserve">use </w:t>
      </w:r>
      <w:r w:rsidRPr="00851A3C">
        <w:t xml:space="preserve">of NRC </w:t>
      </w:r>
      <w:r w:rsidR="003A468D" w:rsidRPr="00851A3C">
        <w:t xml:space="preserve">as a permitted form of niacin </w:t>
      </w:r>
      <w:r w:rsidR="003D3005">
        <w:t>in</w:t>
      </w:r>
      <w:r w:rsidRPr="00851A3C">
        <w:t xml:space="preserve"> FSMPs</w:t>
      </w:r>
      <w:r w:rsidR="00264D5E">
        <w:t xml:space="preserve"> under the existing regulatory measures of Standard 2.9.5</w:t>
      </w:r>
      <w:r w:rsidR="003A468D" w:rsidRPr="00851A3C">
        <w:t>.</w:t>
      </w:r>
      <w:r w:rsidR="00F6291C" w:rsidRPr="00851A3C">
        <w:t xml:space="preserve"> NRC was well tolerated at doses up to 2000 mg/day (equiv. 840 mg/day nicotinamide) which is</w:t>
      </w:r>
      <w:r w:rsidR="00F6291C">
        <w:t xml:space="preserve"> less than the adult UL for nicotinamide of 900 mg/day.</w:t>
      </w:r>
      <w:r w:rsidR="00456A26">
        <w:t xml:space="preserve"> </w:t>
      </w:r>
      <w:r w:rsidR="00F6291C">
        <w:t>Given this, use of NRC within r</w:t>
      </w:r>
      <w:r w:rsidR="00F6291C" w:rsidRPr="00766D5D">
        <w:t>ecommended intake levels</w:t>
      </w:r>
      <w:r w:rsidR="00B14378">
        <w:t xml:space="preserve"> of niacin</w:t>
      </w:r>
      <w:r w:rsidR="00F6291C" w:rsidRPr="00766D5D">
        <w:t xml:space="preserve"> is considered safe </w:t>
      </w:r>
      <w:r w:rsidR="00456A26">
        <w:t xml:space="preserve">by adults, adolescents and children. </w:t>
      </w:r>
    </w:p>
    <w:p w14:paraId="550F7B5D" w14:textId="41668705" w:rsidR="00456A26" w:rsidRDefault="00456A26" w:rsidP="00766D5D">
      <w:pPr>
        <w:widowControl/>
      </w:pPr>
    </w:p>
    <w:p w14:paraId="21804038" w14:textId="3D3C355E" w:rsidR="00456A26" w:rsidRPr="00917C06" w:rsidRDefault="00456A26" w:rsidP="00766D5D">
      <w:pPr>
        <w:widowControl/>
      </w:pPr>
      <w:r>
        <w:t xml:space="preserve">Similar to </w:t>
      </w:r>
      <w:r w:rsidR="00264D5E">
        <w:t xml:space="preserve">the </w:t>
      </w:r>
      <w:r>
        <w:t>inability to establis</w:t>
      </w:r>
      <w:r w:rsidR="00B50905">
        <w:t>h a UL for nicotinamide due to the</w:t>
      </w:r>
      <w:r w:rsidRPr="00264D5E">
        <w:t> lack of data on safety in pregnancy and lactation</w:t>
      </w:r>
      <w:r>
        <w:t xml:space="preserve">, it was not possible for FSANZ to reach a conclusion on the safety of </w:t>
      </w:r>
      <w:r w:rsidRPr="005E04F6">
        <w:t xml:space="preserve">NRC </w:t>
      </w:r>
      <w:r w:rsidR="00B14378" w:rsidRPr="005E04F6">
        <w:t>at</w:t>
      </w:r>
      <w:r w:rsidR="00B14378">
        <w:t xml:space="preserve"> high levels of intake</w:t>
      </w:r>
      <w:r w:rsidR="00B50905">
        <w:t xml:space="preserve"> for this subpopulation</w:t>
      </w:r>
      <w:r w:rsidR="00B14378">
        <w:t xml:space="preserve">. </w:t>
      </w:r>
      <w:r>
        <w:t xml:space="preserve">However, it would be expected </w:t>
      </w:r>
      <w:r w:rsidR="00B14378">
        <w:t>that the use of NRC within</w:t>
      </w:r>
      <w:r w:rsidRPr="00917C06">
        <w:t xml:space="preserve"> </w:t>
      </w:r>
      <w:r>
        <w:t xml:space="preserve">recommended intake levels </w:t>
      </w:r>
      <w:r w:rsidRPr="00917C06">
        <w:t>of niacin</w:t>
      </w:r>
      <w:r>
        <w:t xml:space="preserve">, where prescribed and supervised by a medical practitioner or dietitian, will not represent a safety concern in pregnant or lactating women. </w:t>
      </w:r>
    </w:p>
    <w:p w14:paraId="7FD4718E" w14:textId="75E5D917" w:rsidR="008273A9" w:rsidRDefault="008273A9" w:rsidP="00766D5D">
      <w:pPr>
        <w:widowControl/>
      </w:pPr>
    </w:p>
    <w:p w14:paraId="49646550" w14:textId="67416FB2" w:rsidR="00B14378" w:rsidRDefault="008273A9">
      <w:r>
        <w:t xml:space="preserve">It must also be noted that </w:t>
      </w:r>
      <w:r w:rsidR="00B14378" w:rsidRPr="00841A52">
        <w:t xml:space="preserve">NRVs are </w:t>
      </w:r>
      <w:r w:rsidR="00B14378">
        <w:t xml:space="preserve">healthy </w:t>
      </w:r>
      <w:r w:rsidR="00B14378" w:rsidRPr="00841A52">
        <w:t xml:space="preserve">population recommendations and individual requirements can vary from these population recommendations particularly in unwell or vulnerable groups. These factors are taken into consideration on an individual </w:t>
      </w:r>
      <w:r w:rsidR="00B14378">
        <w:t xml:space="preserve">case by case </w:t>
      </w:r>
      <w:r w:rsidR="00B14378" w:rsidRPr="00841A52">
        <w:t>basis</w:t>
      </w:r>
      <w:r w:rsidR="00B14378">
        <w:t xml:space="preserve"> when FSMP</w:t>
      </w:r>
      <w:r w:rsidR="00273D8E">
        <w:t>s</w:t>
      </w:r>
      <w:r w:rsidR="00B14378">
        <w:t xml:space="preserve"> are being supplied to patients</w:t>
      </w:r>
      <w:r w:rsidR="00B14378" w:rsidRPr="00841A52">
        <w:t>.</w:t>
      </w:r>
      <w:r>
        <w:t xml:space="preserve"> </w:t>
      </w:r>
      <w:r w:rsidR="00273D8E">
        <w:t>S</w:t>
      </w:r>
      <w:r>
        <w:t>tandard</w:t>
      </w:r>
      <w:r w:rsidR="00273D8E">
        <w:t xml:space="preserve"> 2.9.5</w:t>
      </w:r>
      <w:r>
        <w:t xml:space="preserve"> already requires manufacturer</w:t>
      </w:r>
      <w:r w:rsidR="00273D8E">
        <w:t>s</w:t>
      </w:r>
      <w:r>
        <w:t xml:space="preserve"> provide </w:t>
      </w:r>
      <w:r w:rsidR="00B14378" w:rsidRPr="00841A52">
        <w:t xml:space="preserve">information regarding the total volume of </w:t>
      </w:r>
      <w:r w:rsidR="00B14378" w:rsidRPr="00E21106">
        <w:t xml:space="preserve">their product that is required for nutritional adequacy when used as a sole source of nutrition (e.g. nutritionally complete in 1.5 litres) as well as the nutrient composition of a product. These are used to assess the nutritional adequacy of a product against disease specific requirements where known, or at least against cautious application of a specific </w:t>
      </w:r>
      <w:r w:rsidR="00B14378">
        <w:t>NRV</w:t>
      </w:r>
      <w:r w:rsidR="00273D8E">
        <w:t>, where indicated for specific medical conditions.</w:t>
      </w:r>
      <w:r w:rsidR="00B14378" w:rsidRPr="00E21106">
        <w:t xml:space="preserve"> If it is known that any nutrients are not complete in a given volume over a long period of time, this would be monitored by the medical practitioner</w:t>
      </w:r>
      <w:r w:rsidR="00273D8E">
        <w:t xml:space="preserve"> or dietitian</w:t>
      </w:r>
      <w:r w:rsidR="00B14378" w:rsidRPr="00E21106">
        <w:t>.</w:t>
      </w:r>
      <w:r w:rsidR="00B14378">
        <w:t xml:space="preserve"> M</w:t>
      </w:r>
      <w:r w:rsidR="00B14378" w:rsidRPr="00841A52">
        <w:t xml:space="preserve">icronutrient </w:t>
      </w:r>
      <w:r w:rsidR="00B14378" w:rsidRPr="00841A52">
        <w:lastRenderedPageBreak/>
        <w:t xml:space="preserve">supplements or multivitamin preparations </w:t>
      </w:r>
      <w:r w:rsidR="00B14378">
        <w:t xml:space="preserve">can also be used where required </w:t>
      </w:r>
      <w:r w:rsidR="00B14378" w:rsidRPr="00841A52">
        <w:t xml:space="preserve">to </w:t>
      </w:r>
      <w:r w:rsidR="00273D8E">
        <w:t>account for</w:t>
      </w:r>
      <w:r w:rsidR="00B14378" w:rsidRPr="00841A52">
        <w:t xml:space="preserve"> any nutrient deficit and ensure nutritional adequacy.</w:t>
      </w:r>
    </w:p>
    <w:p w14:paraId="42F43F4C" w14:textId="0E2AB0CA" w:rsidR="001621A1" w:rsidRDefault="001621A1" w:rsidP="00F6291C"/>
    <w:p w14:paraId="3ED37CF1" w14:textId="739088FB" w:rsidR="001621A1" w:rsidRPr="00247208" w:rsidRDefault="001621A1" w:rsidP="00766D5D">
      <w:pPr>
        <w:widowControl/>
        <w:rPr>
          <w:szCs w:val="22"/>
        </w:rPr>
      </w:pPr>
      <w:r>
        <w:rPr>
          <w:szCs w:val="22"/>
        </w:rPr>
        <w:t xml:space="preserve">The risk assessment concludes </w:t>
      </w:r>
      <w:r>
        <w:t xml:space="preserve">there is no evidence of a public health and safety concern associated with the </w:t>
      </w:r>
      <w:r w:rsidR="003D3005">
        <w:t>use</w:t>
      </w:r>
      <w:r>
        <w:t xml:space="preserve"> </w:t>
      </w:r>
      <w:r w:rsidR="0078782A">
        <w:t>of NRC</w:t>
      </w:r>
      <w:r w:rsidR="009D5844">
        <w:t xml:space="preserve"> as a permitted form of niacin in</w:t>
      </w:r>
      <w:r w:rsidR="0078782A">
        <w:t xml:space="preserve"> FSMPs within r</w:t>
      </w:r>
      <w:r w:rsidR="0078782A" w:rsidRPr="00A61E7A">
        <w:t>ecommended intake levels</w:t>
      </w:r>
      <w:r w:rsidR="0078782A">
        <w:t xml:space="preserve"> of niacin. This is further supported by the existing risk management strategies incorporated in Standard 2.9.5 including the intended use under medical supervision and restrictions relating to access and sale. </w:t>
      </w:r>
      <w:r w:rsidRPr="00927174">
        <w:rPr>
          <w:szCs w:val="22"/>
        </w:rPr>
        <w:t xml:space="preserve">Therefore, FSANZ </w:t>
      </w:r>
      <w:r w:rsidR="0078782A">
        <w:rPr>
          <w:szCs w:val="22"/>
        </w:rPr>
        <w:t xml:space="preserve">has </w:t>
      </w:r>
      <w:r w:rsidRPr="00927174">
        <w:rPr>
          <w:szCs w:val="22"/>
        </w:rPr>
        <w:t>prepared a draft variation to permit the use of NRC as a form of niacin</w:t>
      </w:r>
      <w:r>
        <w:rPr>
          <w:szCs w:val="22"/>
        </w:rPr>
        <w:t xml:space="preserve"> in FSMPs, with specifications for NRC drafted for inclusion in Schedule 3 of the Code.</w:t>
      </w:r>
    </w:p>
    <w:p w14:paraId="3852CE25" w14:textId="5D7500BF" w:rsidR="00A77523" w:rsidRDefault="006968AD" w:rsidP="00A77523">
      <w:pPr>
        <w:pStyle w:val="Heading3"/>
      </w:pPr>
      <w:bookmarkStart w:id="79" w:name="_Toc65840485"/>
      <w:bookmarkStart w:id="80" w:name="_Toc68868649"/>
      <w:r>
        <w:t>2.2.</w:t>
      </w:r>
      <w:r w:rsidR="00353999">
        <w:t>3</w:t>
      </w:r>
      <w:r w:rsidR="00A77523">
        <w:tab/>
        <w:t>Labelling</w:t>
      </w:r>
      <w:r w:rsidR="00DA64A1">
        <w:t xml:space="preserve"> requirements</w:t>
      </w:r>
      <w:bookmarkEnd w:id="79"/>
      <w:bookmarkEnd w:id="80"/>
      <w:r w:rsidR="00A77523">
        <w:t xml:space="preserve"> </w:t>
      </w:r>
    </w:p>
    <w:p w14:paraId="5EFC6B59" w14:textId="1DB24485" w:rsidR="00F736C6" w:rsidRDefault="004B695B" w:rsidP="00442E6A">
      <w:r>
        <w:t>The application does not seek to amend any labelling requirements for FSMPs. Section</w:t>
      </w:r>
      <w:r w:rsidR="00704E7C">
        <w:t xml:space="preserve"> 2.9.5―9 of </w:t>
      </w:r>
      <w:r w:rsidR="00A77523" w:rsidRPr="002467D3">
        <w:t>Standard 2.9.5</w:t>
      </w:r>
      <w:r w:rsidR="00794F8C">
        <w:t xml:space="preserve"> </w:t>
      </w:r>
      <w:r w:rsidR="00704E7C">
        <w:t>sets out the label</w:t>
      </w:r>
      <w:r w:rsidR="00173E02">
        <w:t>ling</w:t>
      </w:r>
      <w:r w:rsidR="00704E7C">
        <w:t xml:space="preserve"> information required for FSMPs</w:t>
      </w:r>
      <w:r w:rsidR="004C688D">
        <w:t xml:space="preserve">. </w:t>
      </w:r>
      <w:r w:rsidR="00364779">
        <w:t>This includes</w:t>
      </w:r>
      <w:r w:rsidR="00704E7C">
        <w:t>:</w:t>
      </w:r>
    </w:p>
    <w:p w14:paraId="22A66D40" w14:textId="77777777" w:rsidR="00704E7C" w:rsidRDefault="00704E7C" w:rsidP="00442E6A"/>
    <w:p w14:paraId="1B0AE740" w14:textId="38C5D4D3" w:rsidR="00F736C6" w:rsidRDefault="00094CD4" w:rsidP="00396690">
      <w:pPr>
        <w:pStyle w:val="FSBullet1"/>
      </w:pPr>
      <w:r>
        <w:t>Paragraph 2.9.5―9(1)(e) requir</w:t>
      </w:r>
      <w:r w:rsidR="00527EEC">
        <w:t>es</w:t>
      </w:r>
      <w:r>
        <w:t xml:space="preserve"> t</w:t>
      </w:r>
      <w:r w:rsidR="00F736C6">
        <w:t>he provision of information relating to ingredients</w:t>
      </w:r>
      <w:r w:rsidR="00704E7C">
        <w:t>.</w:t>
      </w:r>
      <w:r>
        <w:t xml:space="preserve"> </w:t>
      </w:r>
      <w:r w:rsidR="00396690">
        <w:t xml:space="preserve">The </w:t>
      </w:r>
      <w:r w:rsidR="00704E7C">
        <w:t>use</w:t>
      </w:r>
      <w:r w:rsidR="00396690">
        <w:t xml:space="preserve"> of NRC </w:t>
      </w:r>
      <w:r w:rsidR="00704E7C">
        <w:t xml:space="preserve">as an ingredient in </w:t>
      </w:r>
      <w:r w:rsidR="00794F8C">
        <w:t>FSMP</w:t>
      </w:r>
      <w:r w:rsidR="00364779">
        <w:t>s</w:t>
      </w:r>
      <w:r>
        <w:t xml:space="preserve"> </w:t>
      </w:r>
      <w:r w:rsidR="00396690">
        <w:t xml:space="preserve">would require information to be provided </w:t>
      </w:r>
      <w:r w:rsidR="003172A1">
        <w:t>in accordance with</w:t>
      </w:r>
      <w:r w:rsidR="00704E7C">
        <w:t xml:space="preserve"> </w:t>
      </w:r>
      <w:r w:rsidR="00704E7C" w:rsidRPr="00396690">
        <w:t>section 2.9.5―11</w:t>
      </w:r>
      <w:r w:rsidR="00704E7C">
        <w:t>.</w:t>
      </w:r>
    </w:p>
    <w:p w14:paraId="556A2D66" w14:textId="672FB4E4" w:rsidR="00094CD4" w:rsidRDefault="00704E7C" w:rsidP="00094CD4">
      <w:pPr>
        <w:pStyle w:val="FSBullet1"/>
        <w:spacing w:before="120"/>
      </w:pPr>
      <w:r>
        <w:t>Paragraph 2.9.5―9(1)(h) requir</w:t>
      </w:r>
      <w:r w:rsidR="00527EEC">
        <w:t>es</w:t>
      </w:r>
      <w:r>
        <w:t xml:space="preserve"> </w:t>
      </w:r>
      <w:r w:rsidR="00364024">
        <w:t>the provision of nutrition information</w:t>
      </w:r>
      <w:r w:rsidR="008636A5">
        <w:t xml:space="preserve"> </w:t>
      </w:r>
      <w:r w:rsidR="003172A1">
        <w:t xml:space="preserve">in accordance with </w:t>
      </w:r>
      <w:r w:rsidR="00364024">
        <w:t>s</w:t>
      </w:r>
      <w:r w:rsidR="008B03B8">
        <w:t>ection 2.9.5―13</w:t>
      </w:r>
      <w:r w:rsidR="008636A5">
        <w:t>.</w:t>
      </w:r>
      <w:r w:rsidR="008B03B8">
        <w:t xml:space="preserve"> </w:t>
      </w:r>
      <w:r w:rsidR="00527EEC">
        <w:t xml:space="preserve">This </w:t>
      </w:r>
      <w:r w:rsidR="008636A5">
        <w:t xml:space="preserve">includes </w:t>
      </w:r>
      <w:r w:rsidR="003172A1">
        <w:t xml:space="preserve">providing </w:t>
      </w:r>
      <w:r w:rsidR="008636A5">
        <w:t xml:space="preserve">the minimum amount or average quantity of any </w:t>
      </w:r>
      <w:r w:rsidR="003172A1" w:rsidRPr="001D1563">
        <w:t>substance listed in the table to section S29—20 that has been</w:t>
      </w:r>
      <w:r w:rsidR="003172A1">
        <w:t xml:space="preserve"> </w:t>
      </w:r>
      <w:r w:rsidR="003172A1" w:rsidRPr="001D1563">
        <w:t>used as a nutritive substance in the food</w:t>
      </w:r>
      <w:r w:rsidR="003172A1">
        <w:t xml:space="preserve"> </w:t>
      </w:r>
      <w:r w:rsidR="008636A5">
        <w:t xml:space="preserve">(see </w:t>
      </w:r>
      <w:r w:rsidR="00173E02">
        <w:t>sub</w:t>
      </w:r>
      <w:r w:rsidR="008636A5">
        <w:t>paragraph 2.9.5―13(b)(ii</w:t>
      </w:r>
      <w:r w:rsidR="003172A1">
        <w:t xml:space="preserve">i)). This would apply to </w:t>
      </w:r>
      <w:r w:rsidR="008636A5">
        <w:t>the use of NRC as a permitted form of niacin</w:t>
      </w:r>
      <w:r w:rsidR="000D5153">
        <w:t>.</w:t>
      </w:r>
    </w:p>
    <w:p w14:paraId="0B922739" w14:textId="6CAA874F" w:rsidR="000D5153" w:rsidRPr="0011386C" w:rsidRDefault="004E3FF8" w:rsidP="0011386C">
      <w:pPr>
        <w:pStyle w:val="Heading3"/>
      </w:pPr>
      <w:bookmarkStart w:id="81" w:name="_Toc65840486"/>
      <w:bookmarkStart w:id="82" w:name="_Toc68868650"/>
      <w:r>
        <w:t>2.2.</w:t>
      </w:r>
      <w:r w:rsidR="00353999">
        <w:t>4</w:t>
      </w:r>
      <w:r w:rsidR="00856DA4" w:rsidRPr="0011386C">
        <w:t xml:space="preserve"> </w:t>
      </w:r>
      <w:r w:rsidR="0011386C">
        <w:tab/>
      </w:r>
      <w:r w:rsidR="00856DA4" w:rsidRPr="0011386C">
        <w:t>Risk management conclusion</w:t>
      </w:r>
      <w:bookmarkEnd w:id="81"/>
      <w:bookmarkEnd w:id="82"/>
    </w:p>
    <w:p w14:paraId="589AF15D" w14:textId="557A4C00" w:rsidR="0011386C" w:rsidRPr="00E61035" w:rsidRDefault="0011386C" w:rsidP="00442E6A">
      <w:pPr>
        <w:pStyle w:val="Default"/>
        <w:rPr>
          <w:sz w:val="22"/>
          <w:szCs w:val="22"/>
        </w:rPr>
      </w:pPr>
      <w:r w:rsidRPr="00E61035">
        <w:rPr>
          <w:sz w:val="22"/>
          <w:szCs w:val="22"/>
        </w:rPr>
        <w:t>Based on the risk assessment and consideration of the objectives of the FSANZ Act (</w:t>
      </w:r>
      <w:r w:rsidR="00B41613" w:rsidRPr="00E61035">
        <w:rPr>
          <w:sz w:val="22"/>
          <w:szCs w:val="22"/>
        </w:rPr>
        <w:t>see section 2</w:t>
      </w:r>
      <w:r w:rsidR="00863020" w:rsidRPr="00E61035">
        <w:rPr>
          <w:sz w:val="22"/>
          <w:szCs w:val="22"/>
        </w:rPr>
        <w:t>.4</w:t>
      </w:r>
      <w:r w:rsidRPr="00E61035">
        <w:rPr>
          <w:sz w:val="22"/>
          <w:szCs w:val="22"/>
        </w:rPr>
        <w:t xml:space="preserve">) and relevant Ministerial Policy Guidelines (see section </w:t>
      </w:r>
      <w:r w:rsidR="00C41756" w:rsidRPr="00E61035">
        <w:rPr>
          <w:sz w:val="22"/>
          <w:szCs w:val="22"/>
        </w:rPr>
        <w:t>2.</w:t>
      </w:r>
      <w:r w:rsidR="00863020" w:rsidRPr="00E61035">
        <w:rPr>
          <w:sz w:val="22"/>
          <w:szCs w:val="22"/>
        </w:rPr>
        <w:t>4</w:t>
      </w:r>
      <w:r w:rsidR="00B41613" w:rsidRPr="00E61035">
        <w:rPr>
          <w:sz w:val="22"/>
          <w:szCs w:val="22"/>
        </w:rPr>
        <w:t>.3</w:t>
      </w:r>
      <w:r w:rsidRPr="00E61035">
        <w:rPr>
          <w:sz w:val="22"/>
          <w:szCs w:val="22"/>
        </w:rPr>
        <w:t xml:space="preserve">), the preferred approach is to prepare a draft variation </w:t>
      </w:r>
      <w:r w:rsidR="00CA74E1" w:rsidRPr="00E61035">
        <w:rPr>
          <w:sz w:val="22"/>
          <w:szCs w:val="22"/>
        </w:rPr>
        <w:t xml:space="preserve">that </w:t>
      </w:r>
      <w:r w:rsidR="00A338EF" w:rsidRPr="00E61035">
        <w:rPr>
          <w:sz w:val="22"/>
          <w:szCs w:val="22"/>
        </w:rPr>
        <w:t>amends</w:t>
      </w:r>
      <w:r w:rsidR="00305F76" w:rsidRPr="00E61035">
        <w:rPr>
          <w:sz w:val="22"/>
          <w:szCs w:val="22"/>
        </w:rPr>
        <w:t xml:space="preserve"> </w:t>
      </w:r>
      <w:r w:rsidR="00823909">
        <w:rPr>
          <w:sz w:val="22"/>
          <w:szCs w:val="22"/>
        </w:rPr>
        <w:t>Schedule</w:t>
      </w:r>
      <w:r w:rsidR="00305F76" w:rsidRPr="00E61035">
        <w:rPr>
          <w:sz w:val="22"/>
          <w:szCs w:val="22"/>
        </w:rPr>
        <w:t xml:space="preserve"> S29—20 </w:t>
      </w:r>
      <w:r w:rsidR="00A338EF" w:rsidRPr="00E61035">
        <w:rPr>
          <w:sz w:val="22"/>
          <w:szCs w:val="22"/>
        </w:rPr>
        <w:t xml:space="preserve">to include NRC in the list of </w:t>
      </w:r>
      <w:r w:rsidR="00DA0C3A" w:rsidRPr="00E61035">
        <w:rPr>
          <w:sz w:val="22"/>
          <w:szCs w:val="22"/>
        </w:rPr>
        <w:t>permitted form</w:t>
      </w:r>
      <w:r w:rsidR="00A338EF" w:rsidRPr="00E61035">
        <w:rPr>
          <w:sz w:val="22"/>
          <w:szCs w:val="22"/>
        </w:rPr>
        <w:t>s</w:t>
      </w:r>
      <w:r w:rsidR="00DA0C3A" w:rsidRPr="00E61035">
        <w:rPr>
          <w:sz w:val="22"/>
          <w:szCs w:val="22"/>
        </w:rPr>
        <w:t xml:space="preserve"> of niacin </w:t>
      </w:r>
      <w:r w:rsidR="00A338EF" w:rsidRPr="00E61035">
        <w:rPr>
          <w:sz w:val="22"/>
          <w:szCs w:val="22"/>
        </w:rPr>
        <w:t>that</w:t>
      </w:r>
      <w:r w:rsidR="00305F76" w:rsidRPr="00E61035">
        <w:rPr>
          <w:sz w:val="22"/>
          <w:szCs w:val="22"/>
        </w:rPr>
        <w:t xml:space="preserve"> </w:t>
      </w:r>
      <w:r w:rsidR="00DA0C3A" w:rsidRPr="00E61035">
        <w:rPr>
          <w:sz w:val="22"/>
          <w:szCs w:val="22"/>
        </w:rPr>
        <w:t>may be added to FSMPs</w:t>
      </w:r>
      <w:r w:rsidR="00305F76" w:rsidRPr="00E61035">
        <w:rPr>
          <w:sz w:val="22"/>
          <w:szCs w:val="22"/>
        </w:rPr>
        <w:t>;</w:t>
      </w:r>
      <w:r w:rsidR="00DA0C3A" w:rsidRPr="00E61035">
        <w:rPr>
          <w:sz w:val="22"/>
          <w:szCs w:val="22"/>
        </w:rPr>
        <w:t xml:space="preserve"> </w:t>
      </w:r>
      <w:r w:rsidR="00305F76" w:rsidRPr="00E61035">
        <w:rPr>
          <w:sz w:val="22"/>
          <w:szCs w:val="22"/>
        </w:rPr>
        <w:t xml:space="preserve">and </w:t>
      </w:r>
      <w:r w:rsidR="00CA74E1" w:rsidRPr="00E61035">
        <w:rPr>
          <w:sz w:val="22"/>
          <w:szCs w:val="22"/>
        </w:rPr>
        <w:t xml:space="preserve">amends Schedule 3 to </w:t>
      </w:r>
      <w:r w:rsidR="00305F76" w:rsidRPr="00E61035">
        <w:rPr>
          <w:sz w:val="22"/>
          <w:szCs w:val="22"/>
        </w:rPr>
        <w:t xml:space="preserve">include </w:t>
      </w:r>
      <w:r w:rsidR="001D5734" w:rsidRPr="00E61035">
        <w:rPr>
          <w:sz w:val="22"/>
          <w:szCs w:val="22"/>
        </w:rPr>
        <w:t>a specification</w:t>
      </w:r>
      <w:r w:rsidR="00DA0C3A" w:rsidRPr="00E61035">
        <w:rPr>
          <w:sz w:val="22"/>
          <w:szCs w:val="22"/>
        </w:rPr>
        <w:t xml:space="preserve"> for NRC in </w:t>
      </w:r>
      <w:r w:rsidR="00CA74E1" w:rsidRPr="00E61035">
        <w:rPr>
          <w:sz w:val="22"/>
          <w:szCs w:val="22"/>
        </w:rPr>
        <w:t xml:space="preserve">that </w:t>
      </w:r>
      <w:r w:rsidR="00DA0C3A" w:rsidRPr="00E61035">
        <w:rPr>
          <w:sz w:val="22"/>
          <w:szCs w:val="22"/>
        </w:rPr>
        <w:t>Schedule</w:t>
      </w:r>
      <w:r w:rsidRPr="00E61035">
        <w:rPr>
          <w:sz w:val="22"/>
          <w:szCs w:val="22"/>
        </w:rPr>
        <w:t>.</w:t>
      </w:r>
    </w:p>
    <w:p w14:paraId="62696CF3" w14:textId="369FA9B3" w:rsidR="00305F76" w:rsidRDefault="00305F76" w:rsidP="00442E6A">
      <w:pPr>
        <w:pStyle w:val="Default"/>
        <w:rPr>
          <w:sz w:val="22"/>
          <w:szCs w:val="22"/>
        </w:rPr>
      </w:pPr>
    </w:p>
    <w:p w14:paraId="253A9D66" w14:textId="06632249" w:rsidR="00305F76" w:rsidRPr="004C326F" w:rsidRDefault="00305F76" w:rsidP="00305F76">
      <w:pPr>
        <w:widowControl/>
        <w:autoSpaceDE w:val="0"/>
        <w:autoSpaceDN w:val="0"/>
        <w:adjustRightInd w:val="0"/>
      </w:pPr>
      <w:r>
        <w:t xml:space="preserve">The draft variation would permit the use of </w:t>
      </w:r>
      <w:r w:rsidRPr="003C2979">
        <w:t xml:space="preserve">nicotinamide riboside chloride as a form of </w:t>
      </w:r>
      <w:r>
        <w:t xml:space="preserve">niacin in FSMPs in accordance with </w:t>
      </w:r>
      <w:r w:rsidR="0052003F">
        <w:t>the Code</w:t>
      </w:r>
      <w:r>
        <w:t>.</w:t>
      </w:r>
    </w:p>
    <w:p w14:paraId="6217151A" w14:textId="3E73C680" w:rsidR="00E520FE" w:rsidRPr="00932F14" w:rsidRDefault="00AB3E3A" w:rsidP="00BD1F09">
      <w:pPr>
        <w:pStyle w:val="Heading2"/>
        <w:numPr>
          <w:ilvl w:val="1"/>
          <w:numId w:val="34"/>
        </w:numPr>
      </w:pPr>
      <w:bookmarkStart w:id="83" w:name="_Toc300933435"/>
      <w:bookmarkStart w:id="84" w:name="_Toc65840487"/>
      <w:bookmarkStart w:id="85" w:name="_Toc68868651"/>
      <w:r>
        <w:t>R</w:t>
      </w:r>
      <w:r w:rsidR="00E520FE">
        <w:t>isk communication</w:t>
      </w:r>
      <w:bookmarkEnd w:id="83"/>
      <w:bookmarkEnd w:id="84"/>
      <w:bookmarkEnd w:id="85"/>
      <w:r w:rsidR="00E520FE">
        <w:t xml:space="preserve"> </w:t>
      </w:r>
    </w:p>
    <w:p w14:paraId="2A916143" w14:textId="1486A0F9" w:rsidR="00E520FE" w:rsidRPr="00B41613" w:rsidRDefault="00863020" w:rsidP="00022DBC">
      <w:pPr>
        <w:pStyle w:val="Heading3"/>
      </w:pPr>
      <w:bookmarkStart w:id="86" w:name="_Toc300933437"/>
      <w:bookmarkStart w:id="87" w:name="_Toc65840488"/>
      <w:bookmarkStart w:id="88" w:name="_Toc68868652"/>
      <w:bookmarkStart w:id="89" w:name="_Toc286391012"/>
      <w:r>
        <w:t>2.3</w:t>
      </w:r>
      <w:r w:rsidR="00E520FE" w:rsidRPr="00B41613">
        <w:t>.1</w:t>
      </w:r>
      <w:r w:rsidR="00E520FE" w:rsidRPr="00B41613">
        <w:tab/>
        <w:t>Consultation</w:t>
      </w:r>
      <w:bookmarkEnd w:id="86"/>
      <w:bookmarkEnd w:id="87"/>
      <w:bookmarkEnd w:id="88"/>
    </w:p>
    <w:p w14:paraId="0C8C3B68" w14:textId="684FCEAE" w:rsidR="004E3FF8" w:rsidRPr="00B67CB4" w:rsidRDefault="004E3FF8" w:rsidP="00442E6A">
      <w:pPr>
        <w:rPr>
          <w:szCs w:val="22"/>
        </w:rPr>
      </w:pPr>
      <w:r w:rsidRPr="004E3FF8">
        <w:rPr>
          <w:rFonts w:cs="Arial"/>
          <w:color w:val="000000"/>
        </w:rPr>
        <w:t>Consultation is a key part of FSANZ</w:t>
      </w:r>
      <w:r w:rsidRPr="004E3FF8">
        <w:rPr>
          <w:rFonts w:cs="Arial" w:hint="eastAsia"/>
          <w:color w:val="000000"/>
        </w:rPr>
        <w:t>’</w:t>
      </w:r>
      <w:r w:rsidRPr="004E3FF8">
        <w:rPr>
          <w:rFonts w:cs="Arial"/>
          <w:color w:val="000000"/>
        </w:rPr>
        <w:t>s standards development process. FSANZ developed</w:t>
      </w:r>
      <w:r w:rsidR="00B67CB4">
        <w:rPr>
          <w:rFonts w:cs="Arial"/>
          <w:color w:val="000000"/>
        </w:rPr>
        <w:t xml:space="preserve"> </w:t>
      </w:r>
      <w:r w:rsidRPr="00B67CB4">
        <w:rPr>
          <w:szCs w:val="22"/>
        </w:rPr>
        <w:t>and applied a standard communication strategy to this</w:t>
      </w:r>
      <w:r w:rsidR="00FC09B0">
        <w:rPr>
          <w:szCs w:val="22"/>
        </w:rPr>
        <w:t xml:space="preserve"> a</w:t>
      </w:r>
      <w:r w:rsidRPr="00B67CB4">
        <w:rPr>
          <w:szCs w:val="22"/>
        </w:rPr>
        <w:t>pplication. All calls for submissions</w:t>
      </w:r>
      <w:r w:rsidR="00B67CB4">
        <w:rPr>
          <w:szCs w:val="22"/>
        </w:rPr>
        <w:t xml:space="preserve"> </w:t>
      </w:r>
      <w:r w:rsidRPr="00B67CB4">
        <w:rPr>
          <w:szCs w:val="22"/>
        </w:rPr>
        <w:t>are notified via the Food Standards Notification Circular, media release, FSANZ</w:t>
      </w:r>
      <w:r w:rsidRPr="00B67CB4">
        <w:rPr>
          <w:rFonts w:hint="eastAsia"/>
          <w:szCs w:val="22"/>
        </w:rPr>
        <w:t>’</w:t>
      </w:r>
      <w:r w:rsidRPr="00B67CB4">
        <w:rPr>
          <w:szCs w:val="22"/>
        </w:rPr>
        <w:t>s social</w:t>
      </w:r>
      <w:r w:rsidR="00B67CB4">
        <w:rPr>
          <w:szCs w:val="22"/>
        </w:rPr>
        <w:t xml:space="preserve"> </w:t>
      </w:r>
      <w:r w:rsidRPr="00B67CB4">
        <w:rPr>
          <w:szCs w:val="22"/>
        </w:rPr>
        <w:t>media tools and Food Standards News.</w:t>
      </w:r>
    </w:p>
    <w:p w14:paraId="3EA307CC" w14:textId="77777777" w:rsidR="004E3FF8" w:rsidRPr="00B67CB4" w:rsidRDefault="004E3FF8" w:rsidP="00442E6A">
      <w:pPr>
        <w:rPr>
          <w:szCs w:val="22"/>
        </w:rPr>
      </w:pPr>
    </w:p>
    <w:p w14:paraId="63F432B6" w14:textId="79501CC9" w:rsidR="004E3FF8" w:rsidRPr="00B67CB4" w:rsidRDefault="004E3FF8" w:rsidP="00442E6A">
      <w:pPr>
        <w:rPr>
          <w:szCs w:val="22"/>
        </w:rPr>
      </w:pPr>
      <w:r w:rsidRPr="00B67CB4">
        <w:rPr>
          <w:szCs w:val="22"/>
        </w:rPr>
        <w:t>The process by which FSANZ considers standards</w:t>
      </w:r>
      <w:r w:rsidRPr="00B67CB4">
        <w:rPr>
          <w:rFonts w:hint="eastAsia"/>
          <w:szCs w:val="22"/>
        </w:rPr>
        <w:t>’</w:t>
      </w:r>
      <w:r w:rsidRPr="00B67CB4">
        <w:rPr>
          <w:szCs w:val="22"/>
        </w:rPr>
        <w:t xml:space="preserve"> development matters is open,</w:t>
      </w:r>
      <w:r w:rsidR="00B67CB4">
        <w:rPr>
          <w:szCs w:val="22"/>
        </w:rPr>
        <w:t xml:space="preserve"> </w:t>
      </w:r>
      <w:r w:rsidRPr="00B67CB4">
        <w:rPr>
          <w:szCs w:val="22"/>
        </w:rPr>
        <w:t>accountable, consultative and transparent. Public submissions are called to obtain the views</w:t>
      </w:r>
      <w:r w:rsidR="00B67CB4">
        <w:rPr>
          <w:szCs w:val="22"/>
        </w:rPr>
        <w:t xml:space="preserve"> </w:t>
      </w:r>
      <w:r w:rsidRPr="00B67CB4">
        <w:rPr>
          <w:szCs w:val="22"/>
        </w:rPr>
        <w:t>of interested p</w:t>
      </w:r>
      <w:r w:rsidR="00CA42F7" w:rsidRPr="00B67CB4">
        <w:rPr>
          <w:szCs w:val="22"/>
        </w:rPr>
        <w:t>arties on issues raised by</w:t>
      </w:r>
      <w:r w:rsidR="00FC09B0">
        <w:rPr>
          <w:szCs w:val="22"/>
        </w:rPr>
        <w:t xml:space="preserve"> this a</w:t>
      </w:r>
      <w:r w:rsidRPr="00B67CB4">
        <w:rPr>
          <w:szCs w:val="22"/>
        </w:rPr>
        <w:t>pplication and the impacts of regulatory</w:t>
      </w:r>
      <w:r w:rsidR="00B67CB4">
        <w:rPr>
          <w:szCs w:val="22"/>
        </w:rPr>
        <w:t xml:space="preserve"> </w:t>
      </w:r>
      <w:r w:rsidRPr="00B67CB4">
        <w:rPr>
          <w:szCs w:val="22"/>
        </w:rPr>
        <w:t>options.</w:t>
      </w:r>
    </w:p>
    <w:p w14:paraId="6CA08FBD" w14:textId="77777777" w:rsidR="004E3FF8" w:rsidRPr="00B67CB4" w:rsidRDefault="004E3FF8" w:rsidP="00442E6A">
      <w:pPr>
        <w:rPr>
          <w:szCs w:val="22"/>
        </w:rPr>
      </w:pPr>
    </w:p>
    <w:p w14:paraId="376018C2" w14:textId="6DBD5344" w:rsidR="004E3FF8" w:rsidRPr="00B67CB4" w:rsidRDefault="004E3FF8" w:rsidP="00442E6A">
      <w:pPr>
        <w:rPr>
          <w:szCs w:val="22"/>
        </w:rPr>
      </w:pPr>
      <w:r w:rsidRPr="00B67CB4">
        <w:rPr>
          <w:szCs w:val="22"/>
        </w:rPr>
        <w:t>The draft variation will be considered for approval by the FSANZ Board taking into account</w:t>
      </w:r>
      <w:r w:rsidR="00B67CB4">
        <w:rPr>
          <w:szCs w:val="22"/>
        </w:rPr>
        <w:t xml:space="preserve"> </w:t>
      </w:r>
      <w:r w:rsidR="00896A00">
        <w:rPr>
          <w:szCs w:val="22"/>
        </w:rPr>
        <w:t>all submissions</w:t>
      </w:r>
      <w:r w:rsidRPr="00B67CB4">
        <w:rPr>
          <w:szCs w:val="22"/>
        </w:rPr>
        <w:t xml:space="preserve"> received from this call for submissions.</w:t>
      </w:r>
    </w:p>
    <w:p w14:paraId="23B15904" w14:textId="7AAB14EB" w:rsidR="00E520FE" w:rsidRPr="00022DBC" w:rsidRDefault="00863020" w:rsidP="00022DBC">
      <w:pPr>
        <w:pStyle w:val="Heading3"/>
      </w:pPr>
      <w:bookmarkStart w:id="90" w:name="_Toc300761912"/>
      <w:bookmarkStart w:id="91" w:name="_Toc300933439"/>
      <w:bookmarkStart w:id="92" w:name="_Toc65840489"/>
      <w:bookmarkStart w:id="93" w:name="_Toc68868653"/>
      <w:bookmarkEnd w:id="89"/>
      <w:r>
        <w:t>2.3</w:t>
      </w:r>
      <w:r w:rsidR="00022DBC" w:rsidRPr="00022DBC">
        <w:t>.2</w:t>
      </w:r>
      <w:r w:rsidR="00E520FE" w:rsidRPr="00022DBC">
        <w:tab/>
        <w:t>World Trade Organization (WTO)</w:t>
      </w:r>
      <w:bookmarkEnd w:id="90"/>
      <w:bookmarkEnd w:id="91"/>
      <w:bookmarkEnd w:id="92"/>
      <w:bookmarkEnd w:id="93"/>
    </w:p>
    <w:p w14:paraId="472D7934" w14:textId="2898AFF4" w:rsidR="00611976" w:rsidRPr="00F5728B" w:rsidRDefault="00611976" w:rsidP="00442E6A">
      <w:pPr>
        <w:rPr>
          <w:rFonts w:cs="Arial"/>
          <w:color w:val="000000"/>
          <w:szCs w:val="22"/>
        </w:rPr>
      </w:pPr>
      <w:r w:rsidRPr="00F5728B">
        <w:rPr>
          <w:rFonts w:cs="Arial"/>
          <w:color w:val="000000"/>
          <w:szCs w:val="22"/>
        </w:rPr>
        <w:t>As members of the World Trade Organization (WTO), Australia and New Zealand are obliged</w:t>
      </w:r>
      <w:r w:rsidR="00B67CB4" w:rsidRPr="00F5728B">
        <w:rPr>
          <w:rFonts w:cs="Arial"/>
          <w:color w:val="000000"/>
          <w:szCs w:val="22"/>
        </w:rPr>
        <w:t xml:space="preserve"> </w:t>
      </w:r>
      <w:r w:rsidRPr="00F5728B">
        <w:rPr>
          <w:rFonts w:cs="Arial"/>
          <w:color w:val="000000"/>
          <w:szCs w:val="22"/>
        </w:rPr>
        <w:t>to notify WTO members where proposed mandatory regulatory measures are inconsistent</w:t>
      </w:r>
      <w:r w:rsidR="00B67CB4" w:rsidRPr="00F5728B">
        <w:rPr>
          <w:rFonts w:cs="Arial"/>
          <w:color w:val="000000"/>
          <w:szCs w:val="22"/>
        </w:rPr>
        <w:t xml:space="preserve"> </w:t>
      </w:r>
      <w:r w:rsidRPr="00F5728B">
        <w:rPr>
          <w:rFonts w:cs="Arial"/>
          <w:color w:val="000000"/>
          <w:szCs w:val="22"/>
        </w:rPr>
        <w:t>with any existing or imminent international standards and the proposed measure may have a</w:t>
      </w:r>
      <w:r w:rsidR="00B67CB4" w:rsidRPr="00F5728B">
        <w:rPr>
          <w:rFonts w:cs="Arial"/>
          <w:color w:val="000000"/>
          <w:szCs w:val="22"/>
        </w:rPr>
        <w:t xml:space="preserve"> </w:t>
      </w:r>
      <w:r w:rsidRPr="00F5728B">
        <w:rPr>
          <w:rFonts w:cs="Arial"/>
          <w:color w:val="000000"/>
          <w:szCs w:val="22"/>
        </w:rPr>
        <w:t>significant effect on trade.</w:t>
      </w:r>
    </w:p>
    <w:p w14:paraId="04A2EBBA" w14:textId="700BD943" w:rsidR="00F5728B" w:rsidRPr="00F5728B" w:rsidRDefault="00F5728B" w:rsidP="00442E6A">
      <w:pPr>
        <w:rPr>
          <w:rFonts w:cs="Arial"/>
          <w:color w:val="000000"/>
          <w:szCs w:val="22"/>
        </w:rPr>
      </w:pPr>
    </w:p>
    <w:p w14:paraId="5A2F5C9C" w14:textId="267ED95D" w:rsidR="009B6720" w:rsidRDefault="00F5728B" w:rsidP="00442E6A">
      <w:pPr>
        <w:rPr>
          <w:rFonts w:cs="Arial"/>
          <w:color w:val="000000"/>
          <w:szCs w:val="22"/>
        </w:rPr>
      </w:pPr>
      <w:r w:rsidRPr="00F5728B">
        <w:rPr>
          <w:rFonts w:cs="Arial"/>
          <w:color w:val="000000"/>
          <w:szCs w:val="22"/>
        </w:rPr>
        <w:t>There are no Codex standards concerning the use of NRC as a form of niacin</w:t>
      </w:r>
      <w:r w:rsidRPr="009B6720">
        <w:rPr>
          <w:rFonts w:cs="Arial"/>
          <w:color w:val="000000"/>
          <w:szCs w:val="22"/>
        </w:rPr>
        <w:t xml:space="preserve"> in F</w:t>
      </w:r>
      <w:r w:rsidRPr="00D109A2">
        <w:rPr>
          <w:rFonts w:cs="Arial"/>
          <w:color w:val="000000"/>
          <w:szCs w:val="22"/>
        </w:rPr>
        <w:t>SMPs. Other than GRAS status</w:t>
      </w:r>
      <w:r w:rsidR="00D109A2">
        <w:rPr>
          <w:rFonts w:cs="Arial"/>
          <w:color w:val="000000"/>
          <w:szCs w:val="22"/>
        </w:rPr>
        <w:t xml:space="preserve"> </w:t>
      </w:r>
      <w:r w:rsidRPr="00F5728B">
        <w:rPr>
          <w:rFonts w:cs="Arial"/>
          <w:color w:val="000000"/>
          <w:szCs w:val="22"/>
        </w:rPr>
        <w:t>in the US to be added to a number of foods</w:t>
      </w:r>
      <w:r w:rsidR="006F2C42">
        <w:rPr>
          <w:rFonts w:cs="Arial"/>
          <w:color w:val="000000"/>
          <w:szCs w:val="22"/>
        </w:rPr>
        <w:t xml:space="preserve"> and</w:t>
      </w:r>
      <w:r w:rsidR="006F2C42">
        <w:t xml:space="preserve"> EU approval as a novel food when in </w:t>
      </w:r>
      <w:r w:rsidR="006F2C42" w:rsidRPr="006F2C42">
        <w:t>supplement form</w:t>
      </w:r>
      <w:r w:rsidRPr="00F5728B">
        <w:rPr>
          <w:rFonts w:cs="Arial"/>
          <w:color w:val="000000"/>
          <w:szCs w:val="22"/>
        </w:rPr>
        <w:t xml:space="preserve">, there are currently no other </w:t>
      </w:r>
      <w:r w:rsidR="0023481C">
        <w:rPr>
          <w:rFonts w:cs="Arial"/>
          <w:color w:val="000000"/>
          <w:szCs w:val="22"/>
        </w:rPr>
        <w:t xml:space="preserve">relevant </w:t>
      </w:r>
      <w:r w:rsidRPr="00F5728B">
        <w:rPr>
          <w:rFonts w:cs="Arial"/>
          <w:color w:val="000000"/>
          <w:szCs w:val="22"/>
        </w:rPr>
        <w:t>national food standards or regulations approving the use of NRC</w:t>
      </w:r>
      <w:r w:rsidR="006F2C42">
        <w:rPr>
          <w:rFonts w:cs="Arial"/>
          <w:color w:val="000000"/>
          <w:szCs w:val="22"/>
        </w:rPr>
        <w:t xml:space="preserve"> </w:t>
      </w:r>
      <w:r w:rsidR="006F2C42" w:rsidRPr="00E61035">
        <w:rPr>
          <w:szCs w:val="22"/>
        </w:rPr>
        <w:t xml:space="preserve">(see section </w:t>
      </w:r>
      <w:r w:rsidR="006F2C42">
        <w:rPr>
          <w:szCs w:val="22"/>
        </w:rPr>
        <w:t>1.3.2</w:t>
      </w:r>
      <w:r w:rsidR="006F2C42" w:rsidRPr="00E61035">
        <w:rPr>
          <w:szCs w:val="22"/>
        </w:rPr>
        <w:t>)</w:t>
      </w:r>
      <w:r w:rsidRPr="00F5728B">
        <w:rPr>
          <w:rFonts w:cs="Arial"/>
          <w:color w:val="000000"/>
          <w:szCs w:val="22"/>
        </w:rPr>
        <w:t>.</w:t>
      </w:r>
      <w:r w:rsidRPr="009B6720">
        <w:rPr>
          <w:rFonts w:cs="Arial"/>
          <w:color w:val="000000"/>
          <w:szCs w:val="22"/>
        </w:rPr>
        <w:t xml:space="preserve"> </w:t>
      </w:r>
      <w:r w:rsidRPr="00F5728B">
        <w:rPr>
          <w:rFonts w:cs="Arial"/>
          <w:color w:val="000000"/>
          <w:szCs w:val="22"/>
        </w:rPr>
        <w:t>A</w:t>
      </w:r>
      <w:r w:rsidR="00611976" w:rsidRPr="00F5728B">
        <w:rPr>
          <w:rFonts w:cs="Arial"/>
          <w:color w:val="000000"/>
          <w:szCs w:val="22"/>
        </w:rPr>
        <w:t>mending the Code to permit a</w:t>
      </w:r>
      <w:r w:rsidR="00C41756" w:rsidRPr="00F5728B">
        <w:rPr>
          <w:rFonts w:cs="Arial"/>
          <w:color w:val="000000"/>
          <w:szCs w:val="22"/>
        </w:rPr>
        <w:t xml:space="preserve"> new form of niacin </w:t>
      </w:r>
      <w:r w:rsidR="0036577D" w:rsidRPr="00F5728B">
        <w:rPr>
          <w:rFonts w:cs="Arial"/>
          <w:color w:val="000000"/>
          <w:szCs w:val="22"/>
        </w:rPr>
        <w:t xml:space="preserve">that may be added to </w:t>
      </w:r>
      <w:r w:rsidR="00C41756" w:rsidRPr="00F5728B">
        <w:rPr>
          <w:rFonts w:cs="Arial"/>
          <w:color w:val="000000"/>
          <w:szCs w:val="22"/>
        </w:rPr>
        <w:t xml:space="preserve">FSMPs is </w:t>
      </w:r>
      <w:r w:rsidR="00611976" w:rsidRPr="00F5728B">
        <w:rPr>
          <w:rFonts w:cs="Arial"/>
          <w:color w:val="000000"/>
          <w:szCs w:val="22"/>
        </w:rPr>
        <w:t>unlikely to have a significant effect on</w:t>
      </w:r>
      <w:r w:rsidR="00C41756" w:rsidRPr="009B6720">
        <w:rPr>
          <w:rFonts w:cs="Arial"/>
          <w:color w:val="000000"/>
          <w:szCs w:val="22"/>
        </w:rPr>
        <w:t xml:space="preserve"> </w:t>
      </w:r>
      <w:r w:rsidR="00611976" w:rsidRPr="00D109A2">
        <w:rPr>
          <w:rFonts w:cs="Arial"/>
          <w:color w:val="000000"/>
          <w:szCs w:val="22"/>
        </w:rPr>
        <w:t>international trade as</w:t>
      </w:r>
      <w:r w:rsidR="00C41756" w:rsidRPr="00D109A2">
        <w:rPr>
          <w:rFonts w:cs="Arial"/>
          <w:szCs w:val="22"/>
        </w:rPr>
        <w:t xml:space="preserve"> this is a voluntary permission which would liberalise trade.</w:t>
      </w:r>
    </w:p>
    <w:p w14:paraId="61C21E25" w14:textId="77777777" w:rsidR="009B6720" w:rsidRDefault="009B6720" w:rsidP="00442E6A">
      <w:pPr>
        <w:rPr>
          <w:rFonts w:cs="Arial"/>
          <w:color w:val="000000"/>
          <w:szCs w:val="22"/>
        </w:rPr>
      </w:pPr>
    </w:p>
    <w:p w14:paraId="030B5A9C" w14:textId="79A24871" w:rsidR="00611976" w:rsidRPr="00F5728B" w:rsidRDefault="00611976" w:rsidP="00442E6A">
      <w:pPr>
        <w:rPr>
          <w:rFonts w:cs="Arial"/>
          <w:color w:val="000000"/>
          <w:szCs w:val="22"/>
        </w:rPr>
      </w:pPr>
      <w:r w:rsidRPr="00D109A2">
        <w:rPr>
          <w:rFonts w:cs="Arial"/>
          <w:color w:val="000000"/>
          <w:szCs w:val="22"/>
        </w:rPr>
        <w:t>Therefore, a notification to the WTO under Australia</w:t>
      </w:r>
      <w:r w:rsidRPr="00F5728B">
        <w:rPr>
          <w:rFonts w:cs="Arial"/>
          <w:color w:val="000000"/>
          <w:szCs w:val="22"/>
        </w:rPr>
        <w:t>’s and New Zealand’s obligations</w:t>
      </w:r>
      <w:r w:rsidR="00C41756" w:rsidRPr="00F5728B">
        <w:rPr>
          <w:rFonts w:cs="Arial"/>
          <w:color w:val="000000"/>
          <w:szCs w:val="22"/>
        </w:rPr>
        <w:t xml:space="preserve"> </w:t>
      </w:r>
      <w:r w:rsidRPr="00F5728B">
        <w:rPr>
          <w:rFonts w:cs="Arial"/>
          <w:color w:val="000000"/>
          <w:szCs w:val="22"/>
        </w:rPr>
        <w:t xml:space="preserve">under the WTO </w:t>
      </w:r>
      <w:r w:rsidR="00FC09B0" w:rsidRPr="00F5728B">
        <w:rPr>
          <w:rFonts w:cs="Arial"/>
          <w:color w:val="000000"/>
          <w:szCs w:val="22"/>
        </w:rPr>
        <w:t>Technical Barriers to Trade or a</w:t>
      </w:r>
      <w:r w:rsidRPr="00F5728B">
        <w:rPr>
          <w:rFonts w:cs="Arial"/>
          <w:color w:val="000000"/>
          <w:szCs w:val="22"/>
        </w:rPr>
        <w:t>pplication of Sanitary and Phytosanitary</w:t>
      </w:r>
      <w:r w:rsidR="00C41756" w:rsidRPr="00F5728B">
        <w:rPr>
          <w:rFonts w:cs="Arial"/>
          <w:color w:val="000000"/>
          <w:szCs w:val="22"/>
        </w:rPr>
        <w:t xml:space="preserve"> </w:t>
      </w:r>
      <w:r w:rsidRPr="00F5728B">
        <w:rPr>
          <w:rFonts w:cs="Arial"/>
          <w:color w:val="000000"/>
          <w:szCs w:val="22"/>
        </w:rPr>
        <w:t>Measures Agreement was not considered necessary.</w:t>
      </w:r>
    </w:p>
    <w:p w14:paraId="38959684" w14:textId="09FC951A" w:rsidR="00E520FE" w:rsidRDefault="00022DBC" w:rsidP="00BD1F09">
      <w:pPr>
        <w:pStyle w:val="Heading2"/>
        <w:numPr>
          <w:ilvl w:val="1"/>
          <w:numId w:val="34"/>
        </w:numPr>
      </w:pPr>
      <w:bookmarkStart w:id="94" w:name="_Toc65840490"/>
      <w:bookmarkStart w:id="95" w:name="_Toc68868654"/>
      <w:r>
        <w:t>FSANZ Act assessment requirements</w:t>
      </w:r>
      <w:bookmarkEnd w:id="94"/>
      <w:bookmarkEnd w:id="95"/>
    </w:p>
    <w:p w14:paraId="031139D2" w14:textId="119EF731" w:rsidR="00CA42F7" w:rsidRPr="00914030" w:rsidRDefault="00FC09B0" w:rsidP="00442E6A">
      <w:r>
        <w:t>When assessing this a</w:t>
      </w:r>
      <w:r w:rsidR="00CA42F7" w:rsidRPr="00CA42F7">
        <w:t>pplication and the subsequent development of a food regulatory</w:t>
      </w:r>
      <w:r w:rsidR="00B67CB4">
        <w:t xml:space="preserve"> </w:t>
      </w:r>
      <w:r w:rsidR="00CA42F7" w:rsidRPr="00CA42F7">
        <w:t>measure, FSANZ has had regard to the following matters</w:t>
      </w:r>
      <w:r w:rsidR="00CA42F7">
        <w:t xml:space="preserve"> in section 29 of the FSANZ Act:</w:t>
      </w:r>
    </w:p>
    <w:p w14:paraId="167E1084" w14:textId="34F5FF7F" w:rsidR="00726C2F" w:rsidRPr="00914030" w:rsidRDefault="00863020" w:rsidP="00726C2F">
      <w:pPr>
        <w:pStyle w:val="Heading3"/>
      </w:pPr>
      <w:bookmarkStart w:id="96" w:name="_Toc65840491"/>
      <w:bookmarkStart w:id="97" w:name="_Toc68868655"/>
      <w:r>
        <w:t>2.4</w:t>
      </w:r>
      <w:r w:rsidR="00726C2F">
        <w:t>.1</w:t>
      </w:r>
      <w:r w:rsidR="00726C2F">
        <w:tab/>
        <w:t xml:space="preserve">Section </w:t>
      </w:r>
      <w:r w:rsidR="00726C2F" w:rsidRPr="0042758B">
        <w:t>29</w:t>
      </w:r>
      <w:bookmarkEnd w:id="96"/>
      <w:bookmarkEnd w:id="97"/>
    </w:p>
    <w:p w14:paraId="7D4C42CF" w14:textId="211E3BE1" w:rsidR="00726C2F" w:rsidRDefault="00195254" w:rsidP="00726C2F">
      <w:pPr>
        <w:pStyle w:val="Heading4"/>
      </w:pPr>
      <w:r>
        <w:t>2.</w:t>
      </w:r>
      <w:r w:rsidR="00863020">
        <w:t>4</w:t>
      </w:r>
      <w:r>
        <w:t>.1.1</w:t>
      </w:r>
      <w:r>
        <w:tab/>
        <w:t>Co</w:t>
      </w:r>
      <w:r w:rsidRPr="002F78C5">
        <w:t>nsideration of costs and benefits</w:t>
      </w:r>
    </w:p>
    <w:p w14:paraId="53326CC8" w14:textId="3FA95C9D" w:rsidR="004956ED" w:rsidRDefault="004956ED" w:rsidP="00442E6A">
      <w:pPr>
        <w:rPr>
          <w:lang w:bidi="ar-SA"/>
        </w:rPr>
      </w:pPr>
      <w:r w:rsidRPr="00140661">
        <w:t xml:space="preserve">The Office of Best Practice Regulation (OBPR) granted FSANZ a standing exemption from the requirement to develop a Regulatory Impact Statement for the </w:t>
      </w:r>
      <w:r>
        <w:t>voluntary addition of a nutritive substance to food</w:t>
      </w:r>
      <w:r w:rsidRPr="00140661">
        <w:t xml:space="preserve"> (OBPR correspondence </w:t>
      </w:r>
      <w:r w:rsidRPr="007D5EF5">
        <w:t xml:space="preserve">dated </w:t>
      </w:r>
      <w:r>
        <w:t xml:space="preserve">16 </w:t>
      </w:r>
      <w:r w:rsidRPr="007D5EF5">
        <w:t>April 2013</w:t>
      </w:r>
      <w:r w:rsidRPr="00140661">
        <w:t xml:space="preserve">, reference </w:t>
      </w:r>
      <w:r>
        <w:t>14943</w:t>
      </w:r>
      <w:r w:rsidR="004F24A9">
        <w:t>)</w:t>
      </w:r>
      <w:r w:rsidRPr="00140661">
        <w:t>. This standing exemption was provided as permitting</w:t>
      </w:r>
      <w:r>
        <w:t xml:space="preserve"> an additional nutritive substance to food</w:t>
      </w:r>
      <w:r w:rsidRPr="00140661">
        <w:t xml:space="preserve"> </w:t>
      </w:r>
      <w:r w:rsidRPr="003E03C8">
        <w:rPr>
          <w:lang w:val="en-AU"/>
        </w:rPr>
        <w:t>is deregulatory as the</w:t>
      </w:r>
      <w:r w:rsidR="00044A28">
        <w:rPr>
          <w:lang w:val="en-AU"/>
        </w:rPr>
        <w:t xml:space="preserve">ir use will be voluntary if the </w:t>
      </w:r>
      <w:r w:rsidRPr="003E03C8">
        <w:rPr>
          <w:lang w:val="en-AU"/>
        </w:rPr>
        <w:t xml:space="preserve">application is approved. </w:t>
      </w:r>
      <w:r w:rsidRPr="003E03C8">
        <w:rPr>
          <w:lang w:bidi="ar-SA"/>
        </w:rPr>
        <w:t>This standing exemption relates to the introduction of a food to the food supply that has been determined to be safe.</w:t>
      </w:r>
      <w:r w:rsidRPr="00F9067B">
        <w:rPr>
          <w:lang w:bidi="ar-SA"/>
        </w:rPr>
        <w:t xml:space="preserve"> </w:t>
      </w:r>
    </w:p>
    <w:p w14:paraId="6F6F93C5" w14:textId="77777777" w:rsidR="004F24A9" w:rsidRPr="00B35052" w:rsidRDefault="004F24A9" w:rsidP="00442E6A">
      <w:pPr>
        <w:rPr>
          <w:rFonts w:cs="Calibri"/>
          <w:lang w:val="en-AU"/>
        </w:rPr>
      </w:pPr>
    </w:p>
    <w:p w14:paraId="508420C7" w14:textId="77777777" w:rsidR="004956ED" w:rsidRDefault="004956ED" w:rsidP="00442E6A">
      <w:pPr>
        <w:rPr>
          <w:rFonts w:cs="Arial"/>
        </w:rPr>
      </w:pPr>
      <w:r w:rsidRPr="00A55542">
        <w:rPr>
          <w:rFonts w:cs="Arial"/>
        </w:rPr>
        <w:t xml:space="preserve">FSANZ, however, has given consideration to the costs and benefits that may arise from the proposed measure for the purposes of meeting FSANZ Act considerations. </w:t>
      </w:r>
      <w:r>
        <w:rPr>
          <w:rFonts w:cs="Arial"/>
        </w:rPr>
        <w:t>T</w:t>
      </w:r>
      <w:r w:rsidRPr="00AA2EFF">
        <w:rPr>
          <w:rFonts w:cs="Arial"/>
        </w:rPr>
        <w:t xml:space="preserve">he FSANZ Act requires FSANZ to have regard to whether costs that would arise from the proposed measure outweigh the direct and indirect benefits to the community, government or industry that would arise </w:t>
      </w:r>
      <w:r>
        <w:rPr>
          <w:rFonts w:cs="Arial"/>
        </w:rPr>
        <w:t xml:space="preserve">from the proposed </w:t>
      </w:r>
      <w:r w:rsidRPr="00DB4672">
        <w:rPr>
          <w:rFonts w:cs="Arial"/>
        </w:rPr>
        <w:t xml:space="preserve">measure (paragraph 29 (2)(a)). </w:t>
      </w:r>
    </w:p>
    <w:p w14:paraId="191F1B19" w14:textId="77777777" w:rsidR="004F24A9" w:rsidRDefault="004F24A9" w:rsidP="00442E6A"/>
    <w:p w14:paraId="77EA5040" w14:textId="5F52C980" w:rsidR="004956ED" w:rsidRDefault="004956ED" w:rsidP="00442E6A">
      <w:r>
        <w:t xml:space="preserve">The purpose of this </w:t>
      </w:r>
      <w:r w:rsidRPr="00DB4672">
        <w:t xml:space="preserve">consideration is to determine if the community, government, and industry as a whole is likely to benefit, on balance, from a move from the status quo (where status quo is rejecting the application). This </w:t>
      </w:r>
      <w:r>
        <w:t xml:space="preserve">analysis considers </w:t>
      </w:r>
      <w:r w:rsidRPr="0055795D">
        <w:rPr>
          <w:szCs w:val="22"/>
        </w:rPr>
        <w:t>permit</w:t>
      </w:r>
      <w:r>
        <w:rPr>
          <w:szCs w:val="22"/>
        </w:rPr>
        <w:t>ting</w:t>
      </w:r>
      <w:r w:rsidRPr="0055795D">
        <w:rPr>
          <w:szCs w:val="22"/>
        </w:rPr>
        <w:t xml:space="preserve"> the use of </w:t>
      </w:r>
      <w:r w:rsidR="00044A28">
        <w:rPr>
          <w:szCs w:val="22"/>
        </w:rPr>
        <w:t>NRC</w:t>
      </w:r>
      <w:r>
        <w:rPr>
          <w:szCs w:val="22"/>
        </w:rPr>
        <w:t xml:space="preserve"> </w:t>
      </w:r>
      <w:r w:rsidRPr="0055795D">
        <w:rPr>
          <w:szCs w:val="22"/>
        </w:rPr>
        <w:t>as a form of</w:t>
      </w:r>
      <w:r>
        <w:rPr>
          <w:szCs w:val="22"/>
        </w:rPr>
        <w:t xml:space="preserve"> </w:t>
      </w:r>
      <w:r w:rsidR="00044A28">
        <w:rPr>
          <w:szCs w:val="22"/>
        </w:rPr>
        <w:t>niacin</w:t>
      </w:r>
      <w:r>
        <w:rPr>
          <w:szCs w:val="22"/>
        </w:rPr>
        <w:t xml:space="preserve"> </w:t>
      </w:r>
      <w:r w:rsidRPr="0055795D">
        <w:rPr>
          <w:szCs w:val="22"/>
        </w:rPr>
        <w:t xml:space="preserve">in </w:t>
      </w:r>
      <w:r>
        <w:rPr>
          <w:szCs w:val="22"/>
        </w:rPr>
        <w:t>FSMPs</w:t>
      </w:r>
      <w:r w:rsidRPr="0055795D">
        <w:rPr>
          <w:szCs w:val="22"/>
        </w:rPr>
        <w:t>.</w:t>
      </w:r>
      <w:r>
        <w:t xml:space="preserve"> FSANZ is of the view that no other realistic food regulatory measures exist, however information received may </w:t>
      </w:r>
      <w:r>
        <w:lastRenderedPageBreak/>
        <w:t>result in FSANZ arriving at a different outcome.</w:t>
      </w:r>
    </w:p>
    <w:p w14:paraId="543502A7" w14:textId="77777777" w:rsidR="004F24A9" w:rsidRDefault="004F24A9" w:rsidP="00442E6A"/>
    <w:p w14:paraId="73159EE8" w14:textId="060924DF" w:rsidR="004956ED" w:rsidRDefault="004956ED" w:rsidP="00442E6A">
      <w:r w:rsidRPr="00824CF4">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w:t>
      </w:r>
      <w:r w:rsidRPr="0055795D">
        <w:rPr>
          <w:szCs w:val="22"/>
        </w:rPr>
        <w:t>permit</w:t>
      </w:r>
      <w:r>
        <w:rPr>
          <w:szCs w:val="22"/>
        </w:rPr>
        <w:t>ting</w:t>
      </w:r>
      <w:r w:rsidRPr="0055795D">
        <w:rPr>
          <w:szCs w:val="22"/>
        </w:rPr>
        <w:t xml:space="preserve"> the use of </w:t>
      </w:r>
      <w:r>
        <w:rPr>
          <w:szCs w:val="22"/>
        </w:rPr>
        <w:t>NRC</w:t>
      </w:r>
      <w:r w:rsidRPr="0055795D">
        <w:rPr>
          <w:szCs w:val="22"/>
        </w:rPr>
        <w:t xml:space="preserve"> as a form of</w:t>
      </w:r>
      <w:r>
        <w:rPr>
          <w:szCs w:val="22"/>
        </w:rPr>
        <w:t xml:space="preserve"> </w:t>
      </w:r>
      <w:r w:rsidR="00A84D04">
        <w:rPr>
          <w:szCs w:val="22"/>
        </w:rPr>
        <w:t xml:space="preserve">niacin </w:t>
      </w:r>
      <w:r w:rsidRPr="0055795D">
        <w:rPr>
          <w:szCs w:val="22"/>
        </w:rPr>
        <w:t xml:space="preserve">in </w:t>
      </w:r>
      <w:r>
        <w:rPr>
          <w:szCs w:val="22"/>
        </w:rPr>
        <w:t>FSMPs.</w:t>
      </w:r>
    </w:p>
    <w:p w14:paraId="1F7E2DA2" w14:textId="10D95495" w:rsidR="004956ED" w:rsidRPr="00D7794D" w:rsidRDefault="004956ED" w:rsidP="00442E6A">
      <w:pPr>
        <w:pStyle w:val="Heading5"/>
      </w:pPr>
      <w:r w:rsidRPr="00D7794D">
        <w:t xml:space="preserve">Costs and benefits of permitting the use of NRC as a form of </w:t>
      </w:r>
      <w:r w:rsidR="00FC5616">
        <w:t>niacin</w:t>
      </w:r>
      <w:r w:rsidRPr="00D7794D">
        <w:t xml:space="preserve"> in FSMPs</w:t>
      </w:r>
    </w:p>
    <w:p w14:paraId="46A9635D" w14:textId="1F0C7B41" w:rsidR="004956ED" w:rsidRPr="0087149F" w:rsidRDefault="004956ED" w:rsidP="00442E6A">
      <w:pPr>
        <w:spacing w:after="240"/>
        <w:rPr>
          <w:lang w:val="en-AU" w:bidi="ar-SA"/>
        </w:rPr>
      </w:pPr>
      <w:r w:rsidRPr="007E7E84">
        <w:rPr>
          <w:lang w:val="en-AU"/>
        </w:rPr>
        <w:t xml:space="preserve">Due to the voluntary nature of the permission, manufacturers would only use this </w:t>
      </w:r>
      <w:r>
        <w:rPr>
          <w:lang w:val="en-AU"/>
        </w:rPr>
        <w:t xml:space="preserve">form of </w:t>
      </w:r>
      <w:r>
        <w:rPr>
          <w:szCs w:val="22"/>
        </w:rPr>
        <w:t>niacin</w:t>
      </w:r>
      <w:r w:rsidRPr="001512F3">
        <w:rPr>
          <w:lang w:val="en-AU"/>
        </w:rPr>
        <w:t xml:space="preserve"> in the production </w:t>
      </w:r>
      <w:r w:rsidRPr="00C23837">
        <w:t xml:space="preserve">of </w:t>
      </w:r>
      <w:r w:rsidR="00A84D04">
        <w:rPr>
          <w:szCs w:val="22"/>
        </w:rPr>
        <w:t>FSMPs</w:t>
      </w:r>
      <w:r>
        <w:rPr>
          <w:lang w:val="en-AU"/>
        </w:rPr>
        <w:t xml:space="preserve">, where they believe a net benefit exists for them. </w:t>
      </w:r>
      <w:r w:rsidR="007F766D">
        <w:rPr>
          <w:lang w:val="en-AU"/>
        </w:rPr>
        <w:t>T</w:t>
      </w:r>
      <w:r w:rsidR="00EB6B63">
        <w:rPr>
          <w:lang w:val="en-AU"/>
        </w:rPr>
        <w:t xml:space="preserve">his could ultimately </w:t>
      </w:r>
      <w:r w:rsidR="007F766D">
        <w:rPr>
          <w:lang w:val="en-AU"/>
        </w:rPr>
        <w:t xml:space="preserve">result in a better quality or lower cost product for </w:t>
      </w:r>
      <w:r w:rsidR="00EB6B63">
        <w:rPr>
          <w:lang w:val="en-AU"/>
        </w:rPr>
        <w:t>consumers.</w:t>
      </w:r>
    </w:p>
    <w:p w14:paraId="6B55B382" w14:textId="796B4DC5" w:rsidR="004956ED" w:rsidRDefault="004956ED" w:rsidP="00442E6A">
      <w:pPr>
        <w:spacing w:after="240"/>
        <w:rPr>
          <w:rFonts w:cs="Arial"/>
          <w:i/>
        </w:rPr>
      </w:pPr>
      <w:r w:rsidRPr="00F9067B">
        <w:rPr>
          <w:lang w:bidi="ar-SA"/>
        </w:rPr>
        <w:t xml:space="preserve">Permitting </w:t>
      </w:r>
      <w:r w:rsidR="0051666E">
        <w:rPr>
          <w:lang w:bidi="ar-SA"/>
        </w:rPr>
        <w:t xml:space="preserve">the use of </w:t>
      </w:r>
      <w:r w:rsidR="00A84D04">
        <w:rPr>
          <w:lang w:bidi="ar-SA"/>
        </w:rPr>
        <w:t>NRC</w:t>
      </w:r>
      <w:r w:rsidRPr="00F9067B">
        <w:rPr>
          <w:lang w:bidi="ar-SA"/>
        </w:rPr>
        <w:t xml:space="preserve"> </w:t>
      </w:r>
      <w:r w:rsidR="008B5144">
        <w:rPr>
          <w:lang w:bidi="ar-SA"/>
        </w:rPr>
        <w:t xml:space="preserve">as proposed </w:t>
      </w:r>
      <w:r w:rsidRPr="00F9067B">
        <w:rPr>
          <w:lang w:bidi="ar-SA"/>
        </w:rPr>
        <w:t>may result in a small cost to governmen</w:t>
      </w:r>
      <w:r>
        <w:t xml:space="preserve">t in terms of adding the additional form of </w:t>
      </w:r>
      <w:r>
        <w:rPr>
          <w:szCs w:val="22"/>
        </w:rPr>
        <w:t>niacin</w:t>
      </w:r>
      <w:r>
        <w:t xml:space="preserve"> </w:t>
      </w:r>
      <w:r w:rsidRPr="00F9067B">
        <w:rPr>
          <w:lang w:bidi="ar-SA"/>
        </w:rPr>
        <w:t xml:space="preserve">to the current range of </w:t>
      </w:r>
      <w:r>
        <w:t xml:space="preserve">nutritive substances </w:t>
      </w:r>
      <w:r w:rsidRPr="00F9067B">
        <w:rPr>
          <w:lang w:bidi="ar-SA"/>
        </w:rPr>
        <w:t>that are monitored for compliance.</w:t>
      </w:r>
      <w:r>
        <w:t xml:space="preserve"> </w:t>
      </w:r>
      <w:r>
        <w:rPr>
          <w:lang w:val="en-AU"/>
        </w:rPr>
        <w:t>There may also be small and likely inconsequential costs of monitoring an extra food ingredient for regulators to ensure compliance with labelling requirements.</w:t>
      </w:r>
    </w:p>
    <w:p w14:paraId="51D4826E" w14:textId="77777777" w:rsidR="004956ED" w:rsidRDefault="004956ED" w:rsidP="00442E6A">
      <w:pPr>
        <w:pStyle w:val="Heading5"/>
      </w:pPr>
      <w:r w:rsidRPr="00FC4551">
        <w:t>Conclusions</w:t>
      </w:r>
      <w:r>
        <w:t xml:space="preserve"> from cost benefit considerations</w:t>
      </w:r>
    </w:p>
    <w:p w14:paraId="384AB3A3" w14:textId="2B1022DA" w:rsidR="00CA42F7" w:rsidRPr="00D7794D" w:rsidRDefault="004956ED" w:rsidP="00442E6A">
      <w:r w:rsidRPr="00E929E9">
        <w:rPr>
          <w:bCs/>
        </w:rPr>
        <w:t xml:space="preserve">FSANZ’s assessment is that the direct and indirect benefits that would arise from </w:t>
      </w:r>
      <w:r w:rsidRPr="0055795D">
        <w:rPr>
          <w:szCs w:val="22"/>
        </w:rPr>
        <w:t>permit</w:t>
      </w:r>
      <w:r>
        <w:rPr>
          <w:szCs w:val="22"/>
        </w:rPr>
        <w:t>ting</w:t>
      </w:r>
      <w:r w:rsidRPr="0055795D">
        <w:rPr>
          <w:szCs w:val="22"/>
        </w:rPr>
        <w:t xml:space="preserve"> the use of </w:t>
      </w:r>
      <w:r>
        <w:rPr>
          <w:szCs w:val="22"/>
        </w:rPr>
        <w:t>NRC</w:t>
      </w:r>
      <w:r w:rsidRPr="0055795D">
        <w:rPr>
          <w:szCs w:val="22"/>
        </w:rPr>
        <w:t xml:space="preserve"> as a form of</w:t>
      </w:r>
      <w:r>
        <w:rPr>
          <w:szCs w:val="22"/>
        </w:rPr>
        <w:t xml:space="preserve"> </w:t>
      </w:r>
      <w:r w:rsidR="00A84D04">
        <w:rPr>
          <w:szCs w:val="22"/>
        </w:rPr>
        <w:t>niacin</w:t>
      </w:r>
      <w:r>
        <w:rPr>
          <w:szCs w:val="22"/>
        </w:rPr>
        <w:t xml:space="preserve"> </w:t>
      </w:r>
      <w:r w:rsidRPr="0055795D">
        <w:rPr>
          <w:szCs w:val="22"/>
        </w:rPr>
        <w:t xml:space="preserve">in </w:t>
      </w:r>
      <w:r>
        <w:rPr>
          <w:szCs w:val="22"/>
        </w:rPr>
        <w:t>FSMPs</w:t>
      </w:r>
      <w:r w:rsidRPr="00E929E9">
        <w:rPr>
          <w:bCs/>
        </w:rPr>
        <w:t xml:space="preserve"> most likely outweigh the</w:t>
      </w:r>
      <w:r>
        <w:rPr>
          <w:bCs/>
        </w:rPr>
        <w:t xml:space="preserve"> associated</w:t>
      </w:r>
      <w:r w:rsidRPr="00E929E9">
        <w:rPr>
          <w:bCs/>
        </w:rPr>
        <w:t xml:space="preserve"> </w:t>
      </w:r>
      <w:r w:rsidRPr="00D7794D">
        <w:rPr>
          <w:bCs/>
        </w:rPr>
        <w:t>costs.</w:t>
      </w:r>
    </w:p>
    <w:p w14:paraId="06FF629A" w14:textId="61DDF133" w:rsidR="00726C2F" w:rsidRPr="00D7794D" w:rsidRDefault="00863020" w:rsidP="00726C2F">
      <w:pPr>
        <w:pStyle w:val="Heading4"/>
      </w:pPr>
      <w:r w:rsidRPr="00D7794D">
        <w:t>2.4</w:t>
      </w:r>
      <w:r w:rsidR="00726C2F" w:rsidRPr="00D7794D">
        <w:t>.1.2</w:t>
      </w:r>
      <w:r w:rsidR="00726C2F" w:rsidRPr="00D7794D">
        <w:tab/>
        <w:t>Other measures</w:t>
      </w:r>
    </w:p>
    <w:p w14:paraId="0E765A3B" w14:textId="2DC53956" w:rsidR="00726C2F" w:rsidRPr="00D7794D" w:rsidRDefault="00726C2F" w:rsidP="00442E6A">
      <w:r w:rsidRPr="00D7794D">
        <w:t xml:space="preserve">There are no other measures (whether available to FSANZ or not) that would be more cost-effective than a food regulatory measure developed or varied as a result of the </w:t>
      </w:r>
      <w:r w:rsidR="00FC09B0" w:rsidRPr="00D7794D">
        <w:t>a</w:t>
      </w:r>
      <w:r w:rsidR="00CA42F7" w:rsidRPr="00D7794D">
        <w:t>pplication</w:t>
      </w:r>
      <w:r w:rsidRPr="00D7794D">
        <w:t>.</w:t>
      </w:r>
    </w:p>
    <w:p w14:paraId="6D704A52" w14:textId="269BC131" w:rsidR="00726C2F" w:rsidRDefault="008B0075" w:rsidP="008B0075">
      <w:pPr>
        <w:pStyle w:val="Heading4"/>
      </w:pPr>
      <w:r>
        <w:t>2.</w:t>
      </w:r>
      <w:r w:rsidR="00863020">
        <w:t>4</w:t>
      </w:r>
      <w:r>
        <w:t>.1.3</w:t>
      </w:r>
      <w:r>
        <w:tab/>
        <w:t>A</w:t>
      </w:r>
      <w:r w:rsidR="00726C2F" w:rsidRPr="00914030">
        <w:t>ny relevant New Zealand standards</w:t>
      </w:r>
    </w:p>
    <w:p w14:paraId="07E0112C" w14:textId="2515D5F8" w:rsidR="008B0075" w:rsidRDefault="00663227" w:rsidP="00B67CB4">
      <w:pPr>
        <w:jc w:val="both"/>
        <w:rPr>
          <w:lang w:bidi="ar-SA"/>
        </w:rPr>
      </w:pPr>
      <w:r>
        <w:rPr>
          <w:lang w:bidi="ar-SA"/>
        </w:rPr>
        <w:t xml:space="preserve">The relevant standards apply in both Australia and New Zealand. </w:t>
      </w:r>
      <w:r w:rsidR="008B0075">
        <w:rPr>
          <w:lang w:bidi="ar-SA"/>
        </w:rPr>
        <w:t xml:space="preserve">There are no relevant New Zealand </w:t>
      </w:r>
      <w:r>
        <w:rPr>
          <w:lang w:bidi="ar-SA"/>
        </w:rPr>
        <w:t>only standards</w:t>
      </w:r>
      <w:r w:rsidR="008B0075">
        <w:rPr>
          <w:lang w:bidi="ar-SA"/>
        </w:rPr>
        <w:t>.</w:t>
      </w:r>
    </w:p>
    <w:p w14:paraId="39FF6F52" w14:textId="3344B054" w:rsidR="00726C2F" w:rsidRPr="00914030" w:rsidRDefault="00BE3818" w:rsidP="00BE3818">
      <w:pPr>
        <w:pStyle w:val="Heading4"/>
      </w:pPr>
      <w:r>
        <w:t>2.</w:t>
      </w:r>
      <w:r w:rsidR="00863020">
        <w:t>4</w:t>
      </w:r>
      <w:r>
        <w:t>.1.4</w:t>
      </w:r>
      <w:r>
        <w:tab/>
      </w:r>
      <w:r w:rsidR="0027513D">
        <w:t>A</w:t>
      </w:r>
      <w:r>
        <w:t>ny other relevant matters</w:t>
      </w:r>
    </w:p>
    <w:p w14:paraId="4D2A8D2B" w14:textId="509F2680" w:rsidR="00BE3818" w:rsidRDefault="008B5567" w:rsidP="00B67CB4">
      <w:pPr>
        <w:jc w:val="both"/>
      </w:pPr>
      <w:r>
        <w:t>Other relevant matters are considered below</w:t>
      </w:r>
      <w:r w:rsidR="00BE3818">
        <w:rPr>
          <w:lang w:bidi="ar-SA"/>
        </w:rPr>
        <w:t>.</w:t>
      </w:r>
      <w:r>
        <w:t xml:space="preserve"> </w:t>
      </w:r>
    </w:p>
    <w:p w14:paraId="74767E03" w14:textId="2C9D7796" w:rsidR="00022DBC" w:rsidRPr="00914030" w:rsidRDefault="00BE3818" w:rsidP="00022DBC">
      <w:pPr>
        <w:pStyle w:val="Heading3"/>
      </w:pPr>
      <w:bookmarkStart w:id="98" w:name="_Toc65840492"/>
      <w:bookmarkStart w:id="99" w:name="_Toc68868656"/>
      <w:bookmarkStart w:id="100" w:name="_Toc300761897"/>
      <w:bookmarkStart w:id="101" w:name="_Toc300933440"/>
      <w:r>
        <w:t>2.</w:t>
      </w:r>
      <w:r w:rsidR="00863020">
        <w:t>4</w:t>
      </w:r>
      <w:r>
        <w:t>.2</w:t>
      </w:r>
      <w:r w:rsidR="00022DBC" w:rsidRPr="00914030">
        <w:tab/>
      </w:r>
      <w:r>
        <w:t>Subsection 18(1)</w:t>
      </w:r>
      <w:bookmarkEnd w:id="98"/>
      <w:bookmarkEnd w:id="99"/>
      <w:r>
        <w:t xml:space="preserve"> </w:t>
      </w:r>
      <w:bookmarkEnd w:id="100"/>
      <w:bookmarkEnd w:id="101"/>
    </w:p>
    <w:p w14:paraId="00CD3FAA" w14:textId="77777777" w:rsidR="00022DBC" w:rsidRPr="00914030" w:rsidRDefault="00022DBC" w:rsidP="00442E6A">
      <w:r w:rsidRPr="00914030">
        <w:rPr>
          <w:rFonts w:cs="Arial"/>
        </w:rPr>
        <w:t xml:space="preserve">FSANZ has also </w:t>
      </w:r>
      <w:r w:rsidRPr="00914030">
        <w:t xml:space="preserve">considered the three objectives in subsection 18(1) of the </w:t>
      </w:r>
      <w:r>
        <w:t>FSANZ Act during the assessment.</w:t>
      </w:r>
    </w:p>
    <w:p w14:paraId="5D1018EC" w14:textId="5426CD44" w:rsidR="00022DBC" w:rsidRPr="00914030" w:rsidRDefault="00863020" w:rsidP="00022DBC">
      <w:pPr>
        <w:pStyle w:val="Heading4"/>
      </w:pPr>
      <w:bookmarkStart w:id="102" w:name="_Toc297029117"/>
      <w:bookmarkStart w:id="103" w:name="_Toc300761898"/>
      <w:bookmarkStart w:id="104" w:name="_Toc300933441"/>
      <w:r>
        <w:t>2.4</w:t>
      </w:r>
      <w:r w:rsidR="00BE3818">
        <w:t>.2</w:t>
      </w:r>
      <w:r w:rsidR="00022DBC" w:rsidRPr="00914030">
        <w:t>.1</w:t>
      </w:r>
      <w:r w:rsidR="00022DBC" w:rsidRPr="00914030">
        <w:tab/>
        <w:t>Protection of public health and safety</w:t>
      </w:r>
      <w:bookmarkEnd w:id="102"/>
      <w:bookmarkEnd w:id="103"/>
      <w:bookmarkEnd w:id="104"/>
    </w:p>
    <w:p w14:paraId="6ACE87BB" w14:textId="219CDAE7" w:rsidR="009D5844" w:rsidRDefault="00CA42F7" w:rsidP="0094305C">
      <w:r w:rsidRPr="00247208">
        <w:t>FSANZ has undertaken a safety assessment (</w:t>
      </w:r>
      <w:r w:rsidR="00255C69">
        <w:t xml:space="preserve">see </w:t>
      </w:r>
      <w:r w:rsidRPr="00247208">
        <w:t xml:space="preserve">SD1) and concluded there </w:t>
      </w:r>
      <w:r w:rsidR="005D6A1D">
        <w:t>is</w:t>
      </w:r>
      <w:r w:rsidRPr="00247208">
        <w:t xml:space="preserve"> no</w:t>
      </w:r>
      <w:r w:rsidR="005D6A1D">
        <w:t xml:space="preserve"> evidence of a</w:t>
      </w:r>
      <w:r w:rsidRPr="00247208">
        <w:t xml:space="preserve"> public health</w:t>
      </w:r>
      <w:r w:rsidR="005D6A1D">
        <w:t xml:space="preserve"> </w:t>
      </w:r>
      <w:r w:rsidRPr="00247208">
        <w:t>and safety concern</w:t>
      </w:r>
      <w:r w:rsidR="009D5844" w:rsidRPr="009D5844">
        <w:t xml:space="preserve"> </w:t>
      </w:r>
      <w:r w:rsidR="009D5844">
        <w:t xml:space="preserve">associated with the </w:t>
      </w:r>
      <w:r w:rsidR="00B32ED1">
        <w:t>use</w:t>
      </w:r>
      <w:r w:rsidR="009D5844">
        <w:t xml:space="preserve"> of NRC as a permitted form of niacin in FSMPs</w:t>
      </w:r>
      <w:r w:rsidR="0085079F">
        <w:t xml:space="preserve"> under the existing regulatory measures of Standard 2.9.5</w:t>
      </w:r>
      <w:r w:rsidR="0085079F" w:rsidRPr="00851A3C">
        <w:t>.</w:t>
      </w:r>
      <w:r w:rsidR="0085079F">
        <w:t xml:space="preserve"> </w:t>
      </w:r>
    </w:p>
    <w:p w14:paraId="04199EC5" w14:textId="6074345C" w:rsidR="00022DBC" w:rsidRPr="00914030" w:rsidRDefault="00863020" w:rsidP="00022DBC">
      <w:pPr>
        <w:pStyle w:val="Heading4"/>
      </w:pPr>
      <w:bookmarkStart w:id="105" w:name="_Toc300761899"/>
      <w:bookmarkStart w:id="106" w:name="_Toc300933442"/>
      <w:r>
        <w:lastRenderedPageBreak/>
        <w:t>2.4</w:t>
      </w:r>
      <w:r w:rsidR="00BE3818">
        <w:t>.2</w:t>
      </w:r>
      <w:r w:rsidR="00022DBC">
        <w:t>.</w:t>
      </w:r>
      <w:r w:rsidR="00022DBC" w:rsidRPr="00914030">
        <w:t>2</w:t>
      </w:r>
      <w:r w:rsidR="00022DBC" w:rsidRPr="00914030">
        <w:tab/>
        <w:t>The provision of adequate information relating to food to enable consumers to make informed choices</w:t>
      </w:r>
      <w:bookmarkEnd w:id="105"/>
      <w:bookmarkEnd w:id="106"/>
    </w:p>
    <w:p w14:paraId="72BD6091" w14:textId="18694078" w:rsidR="00E40501" w:rsidRDefault="00E40501" w:rsidP="00442E6A">
      <w:pPr>
        <w:rPr>
          <w:rFonts w:cs="Arial"/>
        </w:rPr>
      </w:pPr>
      <w:r>
        <w:rPr>
          <w:rFonts w:cs="Arial"/>
        </w:rPr>
        <w:t>U</w:t>
      </w:r>
      <w:r>
        <w:rPr>
          <w:szCs w:val="22"/>
        </w:rPr>
        <w:t>nder Standard 2.9.5, FSMPs are to be used under medical supervision, ultimately allowing medical pr</w:t>
      </w:r>
      <w:r w:rsidR="00CC7D02">
        <w:rPr>
          <w:szCs w:val="22"/>
        </w:rPr>
        <w:t>actitioners</w:t>
      </w:r>
      <w:r>
        <w:rPr>
          <w:szCs w:val="22"/>
        </w:rPr>
        <w:t xml:space="preserve"> </w:t>
      </w:r>
      <w:r w:rsidR="00170B0F">
        <w:rPr>
          <w:szCs w:val="22"/>
        </w:rPr>
        <w:t xml:space="preserve">and dietitians </w:t>
      </w:r>
      <w:r>
        <w:rPr>
          <w:szCs w:val="22"/>
        </w:rPr>
        <w:t>to determine whether the FSMP is appropriate and safe for their patients</w:t>
      </w:r>
      <w:r w:rsidR="008B5144">
        <w:rPr>
          <w:szCs w:val="22"/>
        </w:rPr>
        <w:t>’</w:t>
      </w:r>
      <w:r>
        <w:rPr>
          <w:szCs w:val="22"/>
        </w:rPr>
        <w:t xml:space="preserve"> specific needs.</w:t>
      </w:r>
    </w:p>
    <w:p w14:paraId="718F5D71" w14:textId="77777777" w:rsidR="00DE5651" w:rsidRDefault="00DE5651" w:rsidP="00442E6A">
      <w:pPr>
        <w:rPr>
          <w:rFonts w:cs="Arial"/>
        </w:rPr>
      </w:pPr>
    </w:p>
    <w:p w14:paraId="0650CD16" w14:textId="33158F98" w:rsidR="00E40501" w:rsidRDefault="002A645A" w:rsidP="00442E6A">
      <w:pPr>
        <w:rPr>
          <w:rFonts w:cs="Arial"/>
        </w:rPr>
      </w:pPr>
      <w:r w:rsidRPr="00863020">
        <w:rPr>
          <w:rFonts w:cs="Arial"/>
        </w:rPr>
        <w:t xml:space="preserve">Existing labelling requirements </w:t>
      </w:r>
      <w:r w:rsidR="008B5144">
        <w:rPr>
          <w:rFonts w:cs="Arial"/>
        </w:rPr>
        <w:t xml:space="preserve">for FSMPs </w:t>
      </w:r>
      <w:r w:rsidRPr="00863020">
        <w:rPr>
          <w:rFonts w:cs="Arial"/>
        </w:rPr>
        <w:t>would a</w:t>
      </w:r>
      <w:r w:rsidR="002802F6">
        <w:rPr>
          <w:rFonts w:cs="Arial"/>
        </w:rPr>
        <w:t xml:space="preserve">pply </w:t>
      </w:r>
      <w:r w:rsidR="007C03F2">
        <w:rPr>
          <w:rFonts w:cs="Arial"/>
        </w:rPr>
        <w:t xml:space="preserve">when </w:t>
      </w:r>
      <w:r w:rsidR="002802F6">
        <w:rPr>
          <w:rFonts w:cs="Arial"/>
        </w:rPr>
        <w:t xml:space="preserve">NRC </w:t>
      </w:r>
      <w:r w:rsidR="007C03F2">
        <w:rPr>
          <w:rFonts w:cs="Arial"/>
        </w:rPr>
        <w:t xml:space="preserve">is </w:t>
      </w:r>
      <w:r w:rsidR="0087061A">
        <w:rPr>
          <w:rFonts w:cs="Arial"/>
        </w:rPr>
        <w:t>added to</w:t>
      </w:r>
      <w:r w:rsidR="002802F6">
        <w:rPr>
          <w:rFonts w:cs="Arial"/>
        </w:rPr>
        <w:t xml:space="preserve"> FSMPs (see</w:t>
      </w:r>
      <w:r w:rsidRPr="00863020">
        <w:rPr>
          <w:rFonts w:cs="Arial"/>
        </w:rPr>
        <w:t xml:space="preserve"> </w:t>
      </w:r>
      <w:r w:rsidR="002802F6">
        <w:rPr>
          <w:rFonts w:cs="Arial"/>
        </w:rPr>
        <w:t>s</w:t>
      </w:r>
      <w:r w:rsidRPr="00863020">
        <w:rPr>
          <w:rFonts w:cs="Arial"/>
        </w:rPr>
        <w:t>ection</w:t>
      </w:r>
      <w:r w:rsidR="002802F6">
        <w:rPr>
          <w:rFonts w:cs="Arial"/>
        </w:rPr>
        <w:t>s 1.3.1.3 and</w:t>
      </w:r>
      <w:r w:rsidRPr="00863020">
        <w:rPr>
          <w:rFonts w:cs="Arial"/>
        </w:rPr>
        <w:t xml:space="preserve"> 2.2.</w:t>
      </w:r>
      <w:r w:rsidR="00353999">
        <w:rPr>
          <w:rFonts w:cs="Arial"/>
        </w:rPr>
        <w:t>3</w:t>
      </w:r>
      <w:r w:rsidR="002802F6">
        <w:rPr>
          <w:rFonts w:cs="Arial"/>
        </w:rPr>
        <w:t>)</w:t>
      </w:r>
      <w:r w:rsidR="00C0298E" w:rsidRPr="00863020">
        <w:rPr>
          <w:rFonts w:cs="Arial"/>
        </w:rPr>
        <w:t>,</w:t>
      </w:r>
      <w:r w:rsidRPr="00863020">
        <w:rPr>
          <w:rFonts w:cs="Arial"/>
        </w:rPr>
        <w:t xml:space="preserve"> which would</w:t>
      </w:r>
      <w:r w:rsidRPr="002A645A">
        <w:rPr>
          <w:rFonts w:cs="Arial"/>
        </w:rPr>
        <w:t xml:space="preserve"> provide information to </w:t>
      </w:r>
      <w:r w:rsidR="009661AE">
        <w:rPr>
          <w:rFonts w:cs="Arial"/>
        </w:rPr>
        <w:t>assist</w:t>
      </w:r>
      <w:r w:rsidR="009661AE" w:rsidRPr="002A645A">
        <w:rPr>
          <w:rFonts w:cs="Arial"/>
        </w:rPr>
        <w:t xml:space="preserve"> </w:t>
      </w:r>
      <w:r w:rsidR="00E40501">
        <w:rPr>
          <w:rFonts w:cs="Arial"/>
        </w:rPr>
        <w:t>medical pr</w:t>
      </w:r>
      <w:r w:rsidR="00CC7D02">
        <w:rPr>
          <w:rFonts w:cs="Arial"/>
        </w:rPr>
        <w:t>actitioners</w:t>
      </w:r>
      <w:r w:rsidR="00170B0F">
        <w:rPr>
          <w:rFonts w:cs="Arial"/>
        </w:rPr>
        <w:t xml:space="preserve"> and dietitians,</w:t>
      </w:r>
      <w:r w:rsidR="00E40501">
        <w:rPr>
          <w:rFonts w:cs="Arial"/>
        </w:rPr>
        <w:t xml:space="preserve"> and </w:t>
      </w:r>
      <w:r w:rsidR="009661AE" w:rsidRPr="002A645A">
        <w:rPr>
          <w:rFonts w:cs="Arial"/>
        </w:rPr>
        <w:t xml:space="preserve">enable </w:t>
      </w:r>
      <w:r w:rsidRPr="002A645A">
        <w:rPr>
          <w:rFonts w:cs="Arial"/>
        </w:rPr>
        <w:t xml:space="preserve">informed </w:t>
      </w:r>
      <w:r w:rsidR="002802F6">
        <w:rPr>
          <w:rFonts w:cs="Arial"/>
        </w:rPr>
        <w:t xml:space="preserve">consumer </w:t>
      </w:r>
      <w:r w:rsidRPr="002A645A">
        <w:rPr>
          <w:rFonts w:cs="Arial"/>
        </w:rPr>
        <w:t>choice.</w:t>
      </w:r>
      <w:r>
        <w:rPr>
          <w:rFonts w:cs="Arial"/>
        </w:rPr>
        <w:t xml:space="preserve"> </w:t>
      </w:r>
    </w:p>
    <w:p w14:paraId="3F7093C2" w14:textId="50399963" w:rsidR="00022DBC" w:rsidRPr="00914030" w:rsidRDefault="00863020" w:rsidP="00022DBC">
      <w:pPr>
        <w:pStyle w:val="Heading4"/>
      </w:pPr>
      <w:bookmarkStart w:id="107" w:name="_Toc300761900"/>
      <w:bookmarkStart w:id="108" w:name="_Toc300933443"/>
      <w:r>
        <w:t>2.4</w:t>
      </w:r>
      <w:r w:rsidR="00BE3818">
        <w:t>.2</w:t>
      </w:r>
      <w:r w:rsidR="00022DBC">
        <w:t>.</w:t>
      </w:r>
      <w:r w:rsidR="00022DBC" w:rsidRPr="00914030">
        <w:t>3</w:t>
      </w:r>
      <w:r w:rsidR="00022DBC" w:rsidRPr="00914030">
        <w:tab/>
        <w:t>The prevention of misleading or deceptive conduct</w:t>
      </w:r>
      <w:bookmarkEnd w:id="107"/>
      <w:bookmarkEnd w:id="108"/>
    </w:p>
    <w:p w14:paraId="33931012" w14:textId="36DBD08A" w:rsidR="00EA38DB" w:rsidRPr="00EA38DB" w:rsidRDefault="00EA38DB" w:rsidP="0008497B">
      <w:pPr>
        <w:jc w:val="both"/>
        <w:rPr>
          <w:szCs w:val="22"/>
        </w:rPr>
      </w:pPr>
      <w:r w:rsidRPr="00EA38DB">
        <w:rPr>
          <w:szCs w:val="22"/>
        </w:rPr>
        <w:t xml:space="preserve">There are </w:t>
      </w:r>
      <w:r w:rsidR="00FC09B0">
        <w:rPr>
          <w:szCs w:val="22"/>
        </w:rPr>
        <w:t>no issues identified with this a</w:t>
      </w:r>
      <w:r w:rsidRPr="00EA38DB">
        <w:rPr>
          <w:szCs w:val="22"/>
        </w:rPr>
        <w:t>pplication relevant to this objective.</w:t>
      </w:r>
    </w:p>
    <w:p w14:paraId="4A49277A" w14:textId="5344E651" w:rsidR="00022DBC" w:rsidRPr="00914030" w:rsidRDefault="00B51E03" w:rsidP="00B51E03">
      <w:pPr>
        <w:pStyle w:val="Heading3"/>
      </w:pPr>
      <w:bookmarkStart w:id="109" w:name="_Toc300761901"/>
      <w:bookmarkStart w:id="110" w:name="_Toc300933444"/>
      <w:bookmarkStart w:id="111" w:name="_Toc65840493"/>
      <w:bookmarkStart w:id="112" w:name="_Toc68868657"/>
      <w:r>
        <w:t>2.</w:t>
      </w:r>
      <w:r w:rsidR="00863020">
        <w:t>4</w:t>
      </w:r>
      <w:r>
        <w:t>.3</w:t>
      </w:r>
      <w:r w:rsidR="00022DBC" w:rsidRPr="00914030">
        <w:tab/>
        <w:t xml:space="preserve">Subsection 18(2) </w:t>
      </w:r>
      <w:bookmarkEnd w:id="109"/>
      <w:bookmarkEnd w:id="110"/>
      <w:r w:rsidR="00022DBC" w:rsidRPr="00914030">
        <w:t>considerations</w:t>
      </w:r>
      <w:bookmarkEnd w:id="111"/>
      <w:bookmarkEnd w:id="112"/>
    </w:p>
    <w:p w14:paraId="737C5E17" w14:textId="77777777" w:rsidR="00022DBC" w:rsidRPr="00914030" w:rsidRDefault="00022DBC" w:rsidP="0008497B">
      <w:pPr>
        <w:jc w:val="both"/>
        <w:rPr>
          <w:rFonts w:cs="Arial"/>
        </w:rPr>
      </w:pPr>
      <w:r w:rsidRPr="00914030">
        <w:rPr>
          <w:rFonts w:cs="Arial"/>
        </w:rPr>
        <w:t>FSANZ has also had regard to:</w:t>
      </w:r>
    </w:p>
    <w:p w14:paraId="05329258" w14:textId="77777777" w:rsidR="00022DBC" w:rsidRPr="00914030" w:rsidRDefault="00022DBC" w:rsidP="0008497B">
      <w:pPr>
        <w:jc w:val="both"/>
        <w:rPr>
          <w:rFonts w:cs="Arial"/>
        </w:rPr>
      </w:pPr>
    </w:p>
    <w:p w14:paraId="0024E25C" w14:textId="77777777" w:rsidR="00022DBC" w:rsidRPr="008828D9" w:rsidRDefault="00022DBC" w:rsidP="0008497B">
      <w:pPr>
        <w:pStyle w:val="FSBullet1"/>
        <w:jc w:val="both"/>
        <w:rPr>
          <w:b/>
        </w:rPr>
      </w:pPr>
      <w:r w:rsidRPr="008828D9">
        <w:rPr>
          <w:b/>
        </w:rPr>
        <w:t>the need for standards to be based on risk analysis using the best available scientific evidence</w:t>
      </w:r>
    </w:p>
    <w:p w14:paraId="1353632D" w14:textId="77777777" w:rsidR="004C7ABF" w:rsidRDefault="004C7ABF" w:rsidP="0008497B">
      <w:pPr>
        <w:jc w:val="both"/>
        <w:rPr>
          <w:szCs w:val="22"/>
        </w:rPr>
      </w:pPr>
    </w:p>
    <w:p w14:paraId="243DB8DE" w14:textId="1FA68473" w:rsidR="004C7ABF" w:rsidRDefault="004C7ABF" w:rsidP="00442E6A">
      <w:pPr>
        <w:rPr>
          <w:szCs w:val="22"/>
        </w:rPr>
      </w:pPr>
      <w:r w:rsidRPr="004C7ABF">
        <w:rPr>
          <w:szCs w:val="22"/>
        </w:rPr>
        <w:t>FS</w:t>
      </w:r>
      <w:r w:rsidRPr="004C7ABF">
        <w:rPr>
          <w:rFonts w:cs="Arial"/>
        </w:rPr>
        <w:t xml:space="preserve">ANZ has used the best available scientific evidence to assess this </w:t>
      </w:r>
      <w:r w:rsidR="00E818C1">
        <w:rPr>
          <w:rFonts w:cs="Arial"/>
        </w:rPr>
        <w:t>a</w:t>
      </w:r>
      <w:r w:rsidR="00FC09B0">
        <w:rPr>
          <w:rFonts w:cs="Arial"/>
        </w:rPr>
        <w:t>pplication. The ap</w:t>
      </w:r>
      <w:r w:rsidRPr="004C7ABF">
        <w:rPr>
          <w:rFonts w:cs="Arial"/>
        </w:rPr>
        <w:t>plicant submitted a dossier of sci</w:t>
      </w:r>
      <w:r w:rsidR="00BE36B4">
        <w:rPr>
          <w:rFonts w:cs="Arial"/>
        </w:rPr>
        <w:t xml:space="preserve">entific studies as part of </w:t>
      </w:r>
      <w:r w:rsidR="0008497B">
        <w:rPr>
          <w:rFonts w:cs="Arial"/>
        </w:rPr>
        <w:t>this</w:t>
      </w:r>
      <w:r w:rsidR="00BE36B4">
        <w:rPr>
          <w:rFonts w:cs="Arial"/>
        </w:rPr>
        <w:t xml:space="preserve"> </w:t>
      </w:r>
      <w:r w:rsidR="00FC09B0">
        <w:rPr>
          <w:rFonts w:cs="Arial"/>
        </w:rPr>
        <w:t>a</w:t>
      </w:r>
      <w:r w:rsidRPr="004C7ABF">
        <w:rPr>
          <w:rFonts w:cs="Arial"/>
        </w:rPr>
        <w:t xml:space="preserve">pplication. </w:t>
      </w:r>
      <w:r w:rsidR="0087061A">
        <w:rPr>
          <w:rFonts w:cs="Arial"/>
        </w:rPr>
        <w:t>FSANZ also had regard to o</w:t>
      </w:r>
      <w:r w:rsidR="0087061A" w:rsidRPr="004C7ABF">
        <w:rPr>
          <w:rFonts w:cs="Arial"/>
        </w:rPr>
        <w:t xml:space="preserve">ther </w:t>
      </w:r>
      <w:r w:rsidRPr="004C7ABF">
        <w:rPr>
          <w:rFonts w:cs="Arial"/>
        </w:rPr>
        <w:t xml:space="preserve">relevant </w:t>
      </w:r>
      <w:r w:rsidRPr="004C7ABF">
        <w:rPr>
          <w:szCs w:val="22"/>
        </w:rPr>
        <w:t>information including scientific literature</w:t>
      </w:r>
      <w:r w:rsidR="0008497B">
        <w:rPr>
          <w:szCs w:val="22"/>
        </w:rPr>
        <w:t xml:space="preserve"> in assessing this</w:t>
      </w:r>
      <w:r w:rsidR="00FC09B0">
        <w:rPr>
          <w:szCs w:val="22"/>
        </w:rPr>
        <w:t xml:space="preserve"> a</w:t>
      </w:r>
      <w:r w:rsidRPr="004C7ABF">
        <w:rPr>
          <w:szCs w:val="22"/>
        </w:rPr>
        <w:t>pplication.</w:t>
      </w:r>
    </w:p>
    <w:p w14:paraId="5999F275" w14:textId="77777777" w:rsidR="00C0298E" w:rsidRPr="00C0298E" w:rsidRDefault="00C0298E" w:rsidP="008828D9">
      <w:pPr>
        <w:rPr>
          <w:szCs w:val="22"/>
        </w:rPr>
      </w:pPr>
    </w:p>
    <w:p w14:paraId="5E6E6B53" w14:textId="77777777" w:rsidR="00022DBC" w:rsidRPr="001C211D" w:rsidRDefault="00022DBC" w:rsidP="0008497B">
      <w:pPr>
        <w:pStyle w:val="FSBullet1"/>
        <w:jc w:val="both"/>
        <w:rPr>
          <w:b/>
        </w:rPr>
      </w:pPr>
      <w:r w:rsidRPr="001C211D">
        <w:rPr>
          <w:b/>
        </w:rPr>
        <w:t>the promotion of consistency between domestic and international food standards</w:t>
      </w:r>
    </w:p>
    <w:p w14:paraId="4D183C66" w14:textId="77777777" w:rsidR="008828D9" w:rsidRPr="001C211D" w:rsidRDefault="008828D9" w:rsidP="0008497B">
      <w:pPr>
        <w:jc w:val="both"/>
        <w:rPr>
          <w:lang w:bidi="ar-SA"/>
        </w:rPr>
      </w:pPr>
    </w:p>
    <w:p w14:paraId="7C12F08F" w14:textId="18AAA8AE" w:rsidR="004C7ABF" w:rsidRPr="00C911C6" w:rsidRDefault="005A23B5" w:rsidP="00442E6A">
      <w:pPr>
        <w:rPr>
          <w:rFonts w:cs="Arial"/>
          <w:color w:val="000000"/>
          <w:szCs w:val="22"/>
          <w:lang w:eastAsia="en-GB" w:bidi="ar-SA"/>
        </w:rPr>
      </w:pPr>
      <w:r w:rsidRPr="001C211D">
        <w:rPr>
          <w:rFonts w:cs="Arial"/>
        </w:rPr>
        <w:t>The proposed permission</w:t>
      </w:r>
      <w:r w:rsidR="004C5128">
        <w:rPr>
          <w:rFonts w:cs="Arial"/>
        </w:rPr>
        <w:t xml:space="preserve"> </w:t>
      </w:r>
      <w:r w:rsidR="004C5128" w:rsidRPr="001C211D">
        <w:rPr>
          <w:rFonts w:cs="Arial"/>
        </w:rPr>
        <w:t xml:space="preserve">in the Code </w:t>
      </w:r>
      <w:r w:rsidR="004C5128">
        <w:rPr>
          <w:rFonts w:cs="Arial"/>
        </w:rPr>
        <w:t>to use NRC as a form of niacin in FSMPs</w:t>
      </w:r>
      <w:r w:rsidRPr="001C211D">
        <w:rPr>
          <w:rFonts w:cs="Arial"/>
        </w:rPr>
        <w:t xml:space="preserve"> </w:t>
      </w:r>
      <w:r w:rsidR="008B5144">
        <w:rPr>
          <w:rFonts w:cs="Arial"/>
        </w:rPr>
        <w:t>is</w:t>
      </w:r>
      <w:r w:rsidRPr="001C211D">
        <w:rPr>
          <w:rFonts w:cs="Arial"/>
        </w:rPr>
        <w:t xml:space="preserve"> consistent with similar permissions for NRC in </w:t>
      </w:r>
      <w:r w:rsidR="00C0298E">
        <w:rPr>
          <w:rFonts w:cs="Arial"/>
        </w:rPr>
        <w:t xml:space="preserve">other </w:t>
      </w:r>
      <w:r w:rsidRPr="001C211D">
        <w:rPr>
          <w:rFonts w:cs="Arial"/>
        </w:rPr>
        <w:t xml:space="preserve">countries </w:t>
      </w:r>
      <w:r w:rsidR="001C211D" w:rsidRPr="001C211D">
        <w:rPr>
          <w:rFonts w:cs="Arial"/>
        </w:rPr>
        <w:t>in</w:t>
      </w:r>
      <w:r w:rsidR="00C0298E">
        <w:rPr>
          <w:rFonts w:cs="Arial"/>
        </w:rPr>
        <w:t>cluding</w:t>
      </w:r>
      <w:r w:rsidR="001C211D" w:rsidRPr="001C211D">
        <w:rPr>
          <w:rFonts w:cs="Arial"/>
        </w:rPr>
        <w:t xml:space="preserve"> </w:t>
      </w:r>
      <w:r w:rsidRPr="001C211D">
        <w:rPr>
          <w:rFonts w:cs="Arial"/>
        </w:rPr>
        <w:t>America</w:t>
      </w:r>
      <w:r w:rsidR="001C211D" w:rsidRPr="001C211D">
        <w:rPr>
          <w:rFonts w:cs="Arial"/>
        </w:rPr>
        <w:t xml:space="preserve"> </w:t>
      </w:r>
      <w:r w:rsidRPr="001C211D">
        <w:rPr>
          <w:rFonts w:cs="Arial"/>
        </w:rPr>
        <w:t xml:space="preserve">and Europe. </w:t>
      </w:r>
      <w:r w:rsidR="00C911C6">
        <w:rPr>
          <w:rFonts w:cs="Arial"/>
          <w:color w:val="000000"/>
          <w:szCs w:val="22"/>
          <w:lang w:eastAsia="en-GB" w:bidi="ar-SA"/>
        </w:rPr>
        <w:t>Codex</w:t>
      </w:r>
      <w:r w:rsidR="00C911C6" w:rsidRPr="000B7EFC">
        <w:rPr>
          <w:rFonts w:cs="Arial"/>
          <w:color w:val="000000"/>
          <w:szCs w:val="22"/>
          <w:lang w:eastAsia="en-GB" w:bidi="ar-SA"/>
        </w:rPr>
        <w:t xml:space="preserve"> compositional standards relating to foods which may be considered FSMPs internationally</w:t>
      </w:r>
      <w:r w:rsidR="00C911C6">
        <w:rPr>
          <w:rFonts w:cs="Arial"/>
          <w:color w:val="000000"/>
          <w:szCs w:val="22"/>
          <w:lang w:eastAsia="en-GB" w:bidi="ar-SA"/>
        </w:rPr>
        <w:t xml:space="preserve"> do not </w:t>
      </w:r>
      <w:r w:rsidR="00C911C6" w:rsidRPr="000B7EFC">
        <w:rPr>
          <w:rFonts w:cs="Arial"/>
          <w:color w:val="000000"/>
          <w:szCs w:val="22"/>
          <w:lang w:eastAsia="en-GB" w:bidi="ar-SA"/>
        </w:rPr>
        <w:t>specify permitted forms for nutrients, including niacin.</w:t>
      </w:r>
    </w:p>
    <w:p w14:paraId="50CF63FC" w14:textId="77777777" w:rsidR="008828D9" w:rsidRPr="008828D9" w:rsidRDefault="008828D9" w:rsidP="0008497B">
      <w:pPr>
        <w:jc w:val="both"/>
        <w:rPr>
          <w:lang w:bidi="ar-SA"/>
        </w:rPr>
      </w:pPr>
    </w:p>
    <w:p w14:paraId="3F3B9D14" w14:textId="77777777" w:rsidR="00022DBC" w:rsidRPr="008828D9" w:rsidRDefault="00022DBC" w:rsidP="0008497B">
      <w:pPr>
        <w:pStyle w:val="FSBullet1"/>
        <w:jc w:val="both"/>
        <w:rPr>
          <w:b/>
        </w:rPr>
      </w:pPr>
      <w:r w:rsidRPr="008828D9">
        <w:rPr>
          <w:b/>
        </w:rPr>
        <w:t>the desirability of an efficient and internationally competitive food industry</w:t>
      </w:r>
    </w:p>
    <w:p w14:paraId="6D05DCA2" w14:textId="77777777" w:rsidR="008828D9" w:rsidRDefault="008828D9" w:rsidP="0008497B">
      <w:pPr>
        <w:jc w:val="both"/>
        <w:rPr>
          <w:lang w:bidi="ar-SA"/>
        </w:rPr>
      </w:pPr>
    </w:p>
    <w:p w14:paraId="6AC8C8F7" w14:textId="6615CB76" w:rsidR="005A23B5" w:rsidRPr="002A7881" w:rsidRDefault="005A23B5" w:rsidP="00442E6A">
      <w:pPr>
        <w:widowControl/>
        <w:rPr>
          <w:rFonts w:cs="Arial"/>
          <w:lang w:bidi="ar-SA"/>
        </w:rPr>
      </w:pPr>
      <w:r w:rsidRPr="002A7881">
        <w:rPr>
          <w:rFonts w:cs="Arial"/>
          <w:lang w:bidi="ar-SA"/>
        </w:rPr>
        <w:t xml:space="preserve">The proposed permission in the Code would allow for a competitive food industry in relation to </w:t>
      </w:r>
      <w:r>
        <w:rPr>
          <w:rFonts w:cs="Arial"/>
          <w:lang w:bidi="ar-SA"/>
        </w:rPr>
        <w:t>FSMPs.</w:t>
      </w:r>
    </w:p>
    <w:p w14:paraId="3674C364" w14:textId="475ECFBF" w:rsidR="004C7ABF" w:rsidRPr="00D7794D" w:rsidRDefault="004C7ABF" w:rsidP="0008497B">
      <w:pPr>
        <w:jc w:val="both"/>
      </w:pPr>
    </w:p>
    <w:p w14:paraId="3F70BF32" w14:textId="77777777" w:rsidR="00022DBC" w:rsidRPr="008828D9" w:rsidRDefault="00022DBC" w:rsidP="0008497B">
      <w:pPr>
        <w:pStyle w:val="FSBullet1"/>
        <w:jc w:val="both"/>
        <w:rPr>
          <w:b/>
        </w:rPr>
      </w:pPr>
      <w:r w:rsidRPr="008828D9">
        <w:rPr>
          <w:b/>
        </w:rPr>
        <w:t>the promotion of fair trading in food</w:t>
      </w:r>
    </w:p>
    <w:p w14:paraId="6363C3B1" w14:textId="77777777" w:rsidR="008828D9" w:rsidRDefault="008828D9" w:rsidP="0008497B">
      <w:pPr>
        <w:jc w:val="both"/>
        <w:rPr>
          <w:lang w:bidi="ar-SA"/>
        </w:rPr>
      </w:pPr>
    </w:p>
    <w:p w14:paraId="02D918FB" w14:textId="68B03813" w:rsidR="008828D9" w:rsidRDefault="004C7ABF" w:rsidP="0008497B">
      <w:pPr>
        <w:jc w:val="both"/>
        <w:rPr>
          <w:szCs w:val="22"/>
        </w:rPr>
      </w:pPr>
      <w:r w:rsidRPr="004C7ABF">
        <w:rPr>
          <w:szCs w:val="22"/>
        </w:rPr>
        <w:t>No i</w:t>
      </w:r>
      <w:r w:rsidR="00FC09B0">
        <w:rPr>
          <w:szCs w:val="22"/>
        </w:rPr>
        <w:t>ssues were identified for this a</w:t>
      </w:r>
      <w:r w:rsidRPr="004C7ABF">
        <w:rPr>
          <w:szCs w:val="22"/>
        </w:rPr>
        <w:t>pplication relevant to this objective.</w:t>
      </w:r>
    </w:p>
    <w:p w14:paraId="7A78FD28" w14:textId="77777777" w:rsidR="004C7ABF" w:rsidRPr="004C7ABF" w:rsidRDefault="004C7ABF" w:rsidP="0008497B">
      <w:pPr>
        <w:jc w:val="both"/>
        <w:rPr>
          <w:szCs w:val="22"/>
        </w:rPr>
      </w:pPr>
    </w:p>
    <w:p w14:paraId="5DA00224" w14:textId="49340D18" w:rsidR="00022DBC" w:rsidRPr="005E2F53" w:rsidRDefault="00022DBC" w:rsidP="0008497B">
      <w:pPr>
        <w:pStyle w:val="FSBullet1"/>
        <w:jc w:val="both"/>
      </w:pPr>
      <w:r w:rsidRPr="008828D9">
        <w:rPr>
          <w:b/>
        </w:rPr>
        <w:t xml:space="preserve">any written policy guidelines formulated by the </w:t>
      </w:r>
      <w:r w:rsidR="007867EE" w:rsidRPr="007867EE">
        <w:rPr>
          <w:b/>
        </w:rPr>
        <w:t>Food Ministers' Meeting</w:t>
      </w:r>
      <w:r w:rsidR="007867EE">
        <w:rPr>
          <w:rStyle w:val="FootnoteReference"/>
          <w:b/>
        </w:rPr>
        <w:footnoteReference w:id="8"/>
      </w:r>
    </w:p>
    <w:p w14:paraId="5E7EF852" w14:textId="77777777" w:rsidR="00022DBC" w:rsidRDefault="00022DBC" w:rsidP="0008497B">
      <w:pPr>
        <w:jc w:val="both"/>
        <w:rPr>
          <w:lang w:bidi="ar-SA"/>
        </w:rPr>
      </w:pPr>
    </w:p>
    <w:p w14:paraId="243ACA87" w14:textId="7BE75DB5" w:rsidR="004C7ABF" w:rsidRDefault="004C7ABF" w:rsidP="00442E6A">
      <w:pPr>
        <w:rPr>
          <w:szCs w:val="22"/>
        </w:rPr>
      </w:pPr>
      <w:r w:rsidRPr="0063011A">
        <w:rPr>
          <w:szCs w:val="22"/>
        </w:rPr>
        <w:lastRenderedPageBreak/>
        <w:t xml:space="preserve">The </w:t>
      </w:r>
      <w:r w:rsidR="0090739C">
        <w:rPr>
          <w:i/>
          <w:szCs w:val="22"/>
        </w:rPr>
        <w:t>Policy Guideline on</w:t>
      </w:r>
      <w:r w:rsidRPr="0008497B">
        <w:rPr>
          <w:i/>
          <w:szCs w:val="22"/>
        </w:rPr>
        <w:t xml:space="preserve"> the Intent of Part 2.9</w:t>
      </w:r>
      <w:r w:rsidR="008271A0">
        <w:rPr>
          <w:i/>
          <w:szCs w:val="22"/>
        </w:rPr>
        <w:t xml:space="preserve"> of the Food Standards Code</w:t>
      </w:r>
      <w:r w:rsidRPr="0008497B">
        <w:rPr>
          <w:i/>
          <w:szCs w:val="22"/>
        </w:rPr>
        <w:t xml:space="preserve"> – Special Purpose Foods</w:t>
      </w:r>
      <w:r w:rsidR="006C51AD">
        <w:rPr>
          <w:rStyle w:val="FootnoteReference"/>
          <w:i/>
          <w:szCs w:val="22"/>
        </w:rPr>
        <w:footnoteReference w:id="9"/>
      </w:r>
      <w:r w:rsidRPr="0008497B">
        <w:rPr>
          <w:i/>
          <w:szCs w:val="22"/>
        </w:rPr>
        <w:t xml:space="preserve"> </w:t>
      </w:r>
      <w:r w:rsidR="0063011A" w:rsidRPr="0063011A">
        <w:rPr>
          <w:szCs w:val="22"/>
        </w:rPr>
        <w:t xml:space="preserve">states the composition of special purpose food should be consistent with the intended purpose. </w:t>
      </w:r>
      <w:r w:rsidR="0063011A">
        <w:rPr>
          <w:szCs w:val="22"/>
        </w:rPr>
        <w:t xml:space="preserve">Based on our assessment, FSANZ considers that the Policy Guideline has been met. </w:t>
      </w:r>
    </w:p>
    <w:p w14:paraId="24DFA58F" w14:textId="195EAEFB" w:rsidR="00C0298E" w:rsidRPr="008271A0" w:rsidRDefault="00C0298E" w:rsidP="008271A0">
      <w:pPr>
        <w:jc w:val="both"/>
        <w:rPr>
          <w:szCs w:val="22"/>
        </w:rPr>
      </w:pPr>
    </w:p>
    <w:p w14:paraId="32DF2B01" w14:textId="2545548A" w:rsidR="005F7342" w:rsidRPr="00932F14" w:rsidRDefault="00D14405" w:rsidP="0042758B">
      <w:pPr>
        <w:pStyle w:val="Heading1"/>
        <w:numPr>
          <w:ilvl w:val="0"/>
          <w:numId w:val="21"/>
        </w:numPr>
        <w:ind w:left="567" w:hanging="567"/>
      </w:pPr>
      <w:bookmarkStart w:id="113" w:name="_Toc286391014"/>
      <w:bookmarkStart w:id="114" w:name="_Toc175381455"/>
      <w:bookmarkStart w:id="115" w:name="_Toc300933445"/>
      <w:bookmarkStart w:id="116" w:name="_Toc65840494"/>
      <w:bookmarkStart w:id="117" w:name="_Toc68868658"/>
      <w:bookmarkEnd w:id="38"/>
      <w:bookmarkEnd w:id="39"/>
      <w:bookmarkEnd w:id="40"/>
      <w:bookmarkEnd w:id="41"/>
      <w:bookmarkEnd w:id="42"/>
      <w:bookmarkEnd w:id="43"/>
      <w:bookmarkEnd w:id="76"/>
      <w:bookmarkEnd w:id="113"/>
      <w:bookmarkEnd w:id="114"/>
      <w:bookmarkEnd w:id="115"/>
      <w:r>
        <w:t>Draft</w:t>
      </w:r>
      <w:r w:rsidRPr="002B5287">
        <w:t xml:space="preserve"> variation</w:t>
      </w:r>
      <w:bookmarkEnd w:id="116"/>
      <w:bookmarkEnd w:id="117"/>
    </w:p>
    <w:p w14:paraId="368186DA" w14:textId="0DCB5B0B" w:rsidR="00D209C9" w:rsidRPr="00C0298E" w:rsidRDefault="00D209C9" w:rsidP="00442E6A">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w:t>
      </w:r>
      <w:r w:rsidRPr="00C0298E">
        <w:t xml:space="preserve">intended to take effect on </w:t>
      </w:r>
      <w:r w:rsidR="000564DE" w:rsidRPr="00C0298E">
        <w:t>gazettal</w:t>
      </w:r>
      <w:r w:rsidRPr="00C0298E">
        <w:t>.</w:t>
      </w:r>
    </w:p>
    <w:p w14:paraId="221F2998" w14:textId="77777777" w:rsidR="00D209C9" w:rsidRPr="001E1FAB" w:rsidRDefault="00D209C9" w:rsidP="00442E6A">
      <w:pPr>
        <w:rPr>
          <w:color w:val="000000" w:themeColor="text1"/>
        </w:rPr>
      </w:pPr>
    </w:p>
    <w:p w14:paraId="208B823D" w14:textId="77777777" w:rsidR="00A12B44" w:rsidRPr="00D26814" w:rsidRDefault="002C4A91" w:rsidP="00442E6A">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D7794D" w:rsidRDefault="00D26814" w:rsidP="002432EE">
      <w:pPr>
        <w:rPr>
          <w:rFonts w:cs="Arial"/>
        </w:rPr>
      </w:pPr>
      <w:bookmarkStart w:id="118" w:name="_Toc11735643"/>
      <w:bookmarkStart w:id="119" w:name="_Toc29883130"/>
      <w:bookmarkStart w:id="120" w:name="_Toc41906817"/>
      <w:bookmarkStart w:id="121" w:name="_Toc41907564"/>
      <w:bookmarkStart w:id="122" w:name="_Toc43112360"/>
    </w:p>
    <w:p w14:paraId="30A1B3E9" w14:textId="5E8C45C6" w:rsidR="00924C80" w:rsidRPr="002B5287" w:rsidRDefault="00924C80" w:rsidP="0042758B">
      <w:pPr>
        <w:pStyle w:val="Heading1"/>
        <w:numPr>
          <w:ilvl w:val="0"/>
          <w:numId w:val="21"/>
        </w:numPr>
        <w:ind w:left="567" w:hanging="567"/>
      </w:pPr>
      <w:bookmarkStart w:id="123" w:name="_Toc300933452"/>
      <w:bookmarkStart w:id="124" w:name="_Toc65840495"/>
      <w:bookmarkStart w:id="125" w:name="_Toc68868659"/>
      <w:r w:rsidRPr="00875870">
        <w:t>R</w:t>
      </w:r>
      <w:bookmarkEnd w:id="123"/>
      <w:r w:rsidR="006C28E2" w:rsidRPr="00875870">
        <w:t>eferences</w:t>
      </w:r>
      <w:bookmarkEnd w:id="124"/>
      <w:bookmarkEnd w:id="125"/>
    </w:p>
    <w:p w14:paraId="12BEDCA3" w14:textId="77777777" w:rsidR="000B2A86" w:rsidRPr="004309C7" w:rsidRDefault="00875870" w:rsidP="00442E6A">
      <w:pPr>
        <w:rPr>
          <w:rFonts w:cs="Arial"/>
          <w:sz w:val="20"/>
          <w:szCs w:val="20"/>
        </w:rPr>
      </w:pPr>
      <w:r w:rsidRPr="004309C7">
        <w:rPr>
          <w:rFonts w:cs="Arial"/>
          <w:sz w:val="20"/>
          <w:szCs w:val="20"/>
        </w:rPr>
        <w:t xml:space="preserve">EFSA Panel on Nutrition, Novel foods and Food allergens (NDA), Turck D, Castenmiller J, de Henauw S, Hirsch-Ernst KI, Kearney J, Maciuk A, Mangelsdorf I, McArdle HJ, Naska A, Pelaez C, Pentieva K, Siani A, Thies F, Tsabouri S, Vinceti M, Cubadda F, Engel KH, Frenzel T, Heinonen M, Marchelli R, Neuhäuser-Berthold M, Pöting A, Poulsen M, Sanz Y, Schlatter JR, van Loveren Agnès de Sesmaisons-Lecarré H, Germini A and Knutsen HK (2019) Safety of nicotinamide riboside chloride as a novel food pursuant to Regulation (EU) 2015/2283 and bioavailability of nicotinamide from this source, in the context of Directive 2002/46/EC. EFSA Journal 17(8):e05775. </w:t>
      </w:r>
      <w:hyperlink r:id="rId26" w:history="1">
        <w:r w:rsidRPr="004309C7">
          <w:rPr>
            <w:rStyle w:val="Hyperlink"/>
            <w:rFonts w:cs="Arial"/>
            <w:sz w:val="20"/>
            <w:szCs w:val="20"/>
          </w:rPr>
          <w:t>https://efsa.onlinelibrary.wiley.com/doi/abs/10.2903/j.efsa.2019.5775</w:t>
        </w:r>
      </w:hyperlink>
      <w:r w:rsidRPr="004309C7">
        <w:rPr>
          <w:rFonts w:cs="Arial"/>
          <w:sz w:val="20"/>
          <w:szCs w:val="20"/>
        </w:rPr>
        <w:t xml:space="preserve"> </w:t>
      </w:r>
    </w:p>
    <w:p w14:paraId="50069A73" w14:textId="77777777" w:rsidR="000B2A86" w:rsidRPr="004309C7" w:rsidRDefault="000B2A86" w:rsidP="00442E6A">
      <w:pPr>
        <w:rPr>
          <w:rFonts w:cs="Arial"/>
          <w:sz w:val="20"/>
          <w:szCs w:val="20"/>
        </w:rPr>
      </w:pPr>
    </w:p>
    <w:p w14:paraId="4185ADC0" w14:textId="79F53BDE" w:rsidR="000B2A86" w:rsidRPr="004309C7" w:rsidRDefault="000B2A86" w:rsidP="00442E6A">
      <w:pPr>
        <w:rPr>
          <w:rFonts w:cs="Arial"/>
          <w:sz w:val="20"/>
          <w:szCs w:val="20"/>
        </w:rPr>
      </w:pPr>
      <w:r w:rsidRPr="004309C7">
        <w:rPr>
          <w:sz w:val="20"/>
          <w:szCs w:val="20"/>
        </w:rPr>
        <w:t xml:space="preserve">National Health and Medical Research Council (NHRMC), Australian Government Department of Health and Ageing, New Zealand Ministry of Health (2006). Nutrient Reference Values for Australia and New Zealand. Canberra: National Health and Medical Research Council. </w:t>
      </w:r>
    </w:p>
    <w:p w14:paraId="339FFE6D" w14:textId="77777777" w:rsidR="000B2A86" w:rsidRPr="004309C7" w:rsidRDefault="000B2A86" w:rsidP="00442E6A">
      <w:pPr>
        <w:widowControl/>
        <w:rPr>
          <w:sz w:val="20"/>
          <w:szCs w:val="20"/>
        </w:rPr>
      </w:pPr>
    </w:p>
    <w:p w14:paraId="3C383E1A" w14:textId="77777777" w:rsidR="009D0948" w:rsidRPr="004309C7" w:rsidRDefault="009D0948" w:rsidP="00442E6A">
      <w:pPr>
        <w:rPr>
          <w:rFonts w:cs="Arial"/>
          <w:sz w:val="20"/>
          <w:szCs w:val="20"/>
          <w:lang w:val="en-AU"/>
        </w:rPr>
      </w:pPr>
      <w:r w:rsidRPr="004309C7">
        <w:rPr>
          <w:rFonts w:cs="Arial"/>
          <w:sz w:val="20"/>
          <w:szCs w:val="20"/>
          <w:lang w:val="en-AU"/>
        </w:rPr>
        <w:t xml:space="preserve">US FDA (2016). GRAS Notices Inventory. Washington (DC): U.S. Food and Drug Administration (U.S FDA). Available at  </w:t>
      </w:r>
      <w:hyperlink r:id="rId27" w:history="1">
        <w:r w:rsidRPr="004309C7">
          <w:rPr>
            <w:rStyle w:val="Hyperlink"/>
            <w:rFonts w:cs="Arial"/>
            <w:sz w:val="20"/>
            <w:szCs w:val="20"/>
            <w:lang w:val="en-AU"/>
          </w:rPr>
          <w:t>https://www.cfsanappsexternal.fda.gov/scripts/fdcc/index.cfm?set=GRASNotices</w:t>
        </w:r>
      </w:hyperlink>
    </w:p>
    <w:p w14:paraId="51E054CA" w14:textId="078868FF" w:rsidR="00E439B9" w:rsidRPr="004309C7" w:rsidRDefault="009D0948" w:rsidP="00442E6A">
      <w:pPr>
        <w:rPr>
          <w:rFonts w:cs="Arial"/>
          <w:sz w:val="20"/>
          <w:szCs w:val="20"/>
          <w:lang w:val="en-AU"/>
        </w:rPr>
      </w:pPr>
      <w:r w:rsidRPr="004309C7">
        <w:rPr>
          <w:rFonts w:cs="Arial"/>
          <w:sz w:val="20"/>
          <w:szCs w:val="20"/>
          <w:lang w:val="en-AU"/>
        </w:rPr>
        <w:t>Accessed 3 February 2021.</w:t>
      </w:r>
    </w:p>
    <w:bookmarkEnd w:id="118"/>
    <w:bookmarkEnd w:id="119"/>
    <w:bookmarkEnd w:id="120"/>
    <w:bookmarkEnd w:id="121"/>
    <w:bookmarkEnd w:id="122"/>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5791DC75" w:rsidR="00AB0275" w:rsidRDefault="00AB0275" w:rsidP="00AB0275">
      <w:pPr>
        <w:ind w:left="567" w:hanging="567"/>
      </w:pPr>
      <w:r>
        <w:t>A.</w:t>
      </w:r>
      <w:r>
        <w:tab/>
      </w:r>
      <w:r w:rsidR="00D2071E">
        <w:t>D</w:t>
      </w:r>
      <w:r>
        <w:t xml:space="preserve">raft </w:t>
      </w:r>
      <w:r w:rsidRPr="00795CCB">
        <w:t>variation to</w:t>
      </w:r>
      <w:r>
        <w:t xml:space="preserve">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6AFF9B3B" w14:textId="06C5C6DE" w:rsidR="00D60568" w:rsidRPr="00E203C2" w:rsidRDefault="00AB0275" w:rsidP="004309C7">
      <w:pPr>
        <w:ind w:left="567" w:hanging="567"/>
      </w:pPr>
      <w:r w:rsidRPr="00456BD5">
        <w:t>B.</w:t>
      </w:r>
      <w:r w:rsidRPr="00456BD5">
        <w:tab/>
      </w:r>
      <w:r w:rsidR="002C4A91">
        <w:t xml:space="preserve">Draft </w:t>
      </w:r>
      <w:r>
        <w:t xml:space="preserve">Explanatory Statement </w:t>
      </w:r>
    </w:p>
    <w:p w14:paraId="6AF32356" w14:textId="11C3698C" w:rsidR="00AB0275" w:rsidRDefault="00AB0275" w:rsidP="00AB0275">
      <w:pPr>
        <w:pStyle w:val="Heading2"/>
        <w:ind w:left="0" w:firstLine="0"/>
        <w:rPr>
          <w:i/>
        </w:rPr>
      </w:pPr>
      <w:bookmarkStart w:id="126" w:name="_Toc300933454"/>
      <w:r w:rsidRPr="00932F14">
        <w:br w:type="page"/>
      </w:r>
      <w:bookmarkStart w:id="127" w:name="_Toc29883131"/>
      <w:bookmarkStart w:id="128" w:name="_Toc41906818"/>
      <w:bookmarkStart w:id="129" w:name="_Toc41907565"/>
      <w:bookmarkStart w:id="130" w:name="_Toc120358596"/>
      <w:bookmarkStart w:id="131" w:name="_Toc175381458"/>
      <w:bookmarkStart w:id="132" w:name="_Toc11735644"/>
      <w:bookmarkStart w:id="133" w:name="_Toc415572037"/>
      <w:bookmarkStart w:id="134" w:name="_Toc65840496"/>
      <w:bookmarkStart w:id="135" w:name="_Toc68868660"/>
      <w:r w:rsidRPr="00932F14">
        <w:lastRenderedPageBreak/>
        <w:t xml:space="preserve">Attachment </w:t>
      </w:r>
      <w:bookmarkEnd w:id="127"/>
      <w:bookmarkEnd w:id="128"/>
      <w:bookmarkEnd w:id="129"/>
      <w:bookmarkEnd w:id="130"/>
      <w:bookmarkEnd w:id="131"/>
      <w:r>
        <w:t>A</w:t>
      </w:r>
      <w:bookmarkStart w:id="136" w:name="_Toc120358597"/>
      <w:bookmarkStart w:id="137" w:name="_Toc175381459"/>
      <w:bookmarkEnd w:id="132"/>
      <w:r>
        <w:t xml:space="preserve"> –</w:t>
      </w:r>
      <w:r w:rsidR="00CA3C65">
        <w:t xml:space="preserve"> </w:t>
      </w:r>
      <w:bookmarkStart w:id="138" w:name="_Toc415572039"/>
      <w:bookmarkEnd w:id="126"/>
      <w:bookmarkEnd w:id="133"/>
      <w:bookmarkEnd w:id="136"/>
      <w:bookmarkEnd w:id="137"/>
      <w:r w:rsidR="00CA3C65">
        <w:t>D</w:t>
      </w:r>
      <w:r>
        <w:t>ra</w:t>
      </w:r>
      <w:r w:rsidRPr="00795CCB">
        <w:t xml:space="preserve">ft variation to the </w:t>
      </w:r>
      <w:r w:rsidRPr="00795CCB">
        <w:rPr>
          <w:i/>
        </w:rPr>
        <w:t>Australia New Zealand Food Standards Code</w:t>
      </w:r>
      <w:bookmarkEnd w:id="134"/>
      <w:bookmarkEnd w:id="135"/>
      <w:r w:rsidRPr="00795CCB">
        <w:rPr>
          <w:i/>
        </w:rPr>
        <w:t xml:space="preserve"> </w:t>
      </w:r>
      <w:bookmarkEnd w:id="138"/>
    </w:p>
    <w:p w14:paraId="7E22C9E3" w14:textId="77777777" w:rsidR="009D30D2" w:rsidRPr="009D30D2" w:rsidRDefault="009D30D2" w:rsidP="009D30D2">
      <w:pPr>
        <w:rPr>
          <w:lang w:bidi="ar-SA"/>
        </w:rPr>
      </w:pPr>
    </w:p>
    <w:p w14:paraId="2F8B0B6B" w14:textId="77777777" w:rsidR="009D30D2" w:rsidRPr="009D30D2" w:rsidRDefault="009D30D2" w:rsidP="009D30D2">
      <w:pPr>
        <w:tabs>
          <w:tab w:val="left" w:pos="851"/>
        </w:tabs>
        <w:rPr>
          <w:noProof/>
          <w:sz w:val="20"/>
          <w:szCs w:val="20"/>
          <w:lang w:val="en-AU" w:eastAsia="en-AU" w:bidi="ar-SA"/>
        </w:rPr>
      </w:pPr>
      <w:r w:rsidRPr="009D30D2">
        <w:rPr>
          <w:noProof/>
          <w:sz w:val="20"/>
          <w:szCs w:val="20"/>
          <w:lang w:eastAsia="en-GB" w:bidi="ar-SA"/>
        </w:rPr>
        <w:drawing>
          <wp:inline distT="0" distB="0" distL="0" distR="0" wp14:anchorId="34835C11" wp14:editId="2E6FD790">
            <wp:extent cx="2657475" cy="438150"/>
            <wp:effectExtent l="0" t="0" r="9525" b="0"/>
            <wp:docPr id="1"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0441D3ED" w14:textId="77777777" w:rsidR="009D30D2" w:rsidRPr="009D30D2" w:rsidRDefault="009D30D2" w:rsidP="009D30D2">
      <w:pPr>
        <w:pBdr>
          <w:bottom w:val="single" w:sz="4" w:space="1" w:color="auto"/>
        </w:pBdr>
        <w:tabs>
          <w:tab w:val="left" w:pos="851"/>
        </w:tabs>
        <w:rPr>
          <w:b/>
          <w:bCs/>
          <w:szCs w:val="20"/>
          <w:lang w:bidi="ar-SA"/>
        </w:rPr>
      </w:pPr>
    </w:p>
    <w:p w14:paraId="6C6BEC95" w14:textId="77777777" w:rsidR="009D30D2" w:rsidRPr="009D30D2" w:rsidRDefault="009D30D2" w:rsidP="009D30D2">
      <w:pPr>
        <w:pBdr>
          <w:bottom w:val="single" w:sz="4" w:space="1" w:color="auto"/>
        </w:pBdr>
        <w:tabs>
          <w:tab w:val="left" w:pos="851"/>
        </w:tabs>
        <w:rPr>
          <w:b/>
          <w:sz w:val="20"/>
          <w:szCs w:val="20"/>
          <w:lang w:bidi="ar-SA"/>
        </w:rPr>
      </w:pPr>
      <w:r w:rsidRPr="009D30D2">
        <w:rPr>
          <w:b/>
          <w:sz w:val="20"/>
          <w:szCs w:val="20"/>
          <w:lang w:bidi="ar-SA"/>
        </w:rPr>
        <w:t>Food Standards (Application A1214 – Nicotinamide riboside chloride as Vitamin B3 in FSMP) Variation</w:t>
      </w:r>
    </w:p>
    <w:p w14:paraId="036006E5" w14:textId="77777777" w:rsidR="009D30D2" w:rsidRPr="009D30D2" w:rsidRDefault="009D30D2" w:rsidP="009D30D2">
      <w:pPr>
        <w:pBdr>
          <w:bottom w:val="single" w:sz="4" w:space="1" w:color="auto"/>
        </w:pBdr>
        <w:tabs>
          <w:tab w:val="left" w:pos="851"/>
        </w:tabs>
        <w:rPr>
          <w:b/>
          <w:sz w:val="20"/>
          <w:szCs w:val="20"/>
          <w:lang w:bidi="ar-SA"/>
        </w:rPr>
      </w:pPr>
    </w:p>
    <w:p w14:paraId="15F52EEC" w14:textId="77777777" w:rsidR="009D30D2" w:rsidRPr="009D30D2" w:rsidRDefault="009D30D2" w:rsidP="009D30D2">
      <w:pPr>
        <w:tabs>
          <w:tab w:val="left" w:pos="851"/>
        </w:tabs>
        <w:rPr>
          <w:sz w:val="20"/>
          <w:szCs w:val="20"/>
          <w:lang w:bidi="ar-SA"/>
        </w:rPr>
      </w:pPr>
    </w:p>
    <w:p w14:paraId="7A15E242" w14:textId="77777777" w:rsidR="009D30D2" w:rsidRPr="009D30D2" w:rsidRDefault="009D30D2" w:rsidP="009D30D2">
      <w:pPr>
        <w:tabs>
          <w:tab w:val="left" w:pos="851"/>
        </w:tabs>
        <w:rPr>
          <w:sz w:val="20"/>
          <w:szCs w:val="20"/>
          <w:lang w:bidi="ar-SA"/>
        </w:rPr>
      </w:pPr>
      <w:r w:rsidRPr="009D30D2">
        <w:rPr>
          <w:sz w:val="20"/>
          <w:szCs w:val="20"/>
          <w:lang w:bidi="ar-SA"/>
        </w:rPr>
        <w:t xml:space="preserve">The Board of Food Standards Australia New Zealand gives notice of the making of this variation under section 92 of the </w:t>
      </w:r>
      <w:r w:rsidRPr="009D30D2">
        <w:rPr>
          <w:i/>
          <w:sz w:val="20"/>
          <w:szCs w:val="20"/>
          <w:lang w:bidi="ar-SA"/>
        </w:rPr>
        <w:t>Food Standards Australia New Zealand Act 1991</w:t>
      </w:r>
      <w:r w:rsidRPr="009D30D2">
        <w:rPr>
          <w:sz w:val="20"/>
          <w:szCs w:val="20"/>
          <w:lang w:bidi="ar-SA"/>
        </w:rPr>
        <w:t>.  The variation commences on the date specified in clause 3 of this variation.</w:t>
      </w:r>
    </w:p>
    <w:p w14:paraId="3495E59A" w14:textId="77777777" w:rsidR="009D30D2" w:rsidRPr="009D30D2" w:rsidRDefault="009D30D2" w:rsidP="009D30D2">
      <w:pPr>
        <w:tabs>
          <w:tab w:val="left" w:pos="851"/>
        </w:tabs>
        <w:rPr>
          <w:sz w:val="20"/>
          <w:szCs w:val="20"/>
          <w:lang w:bidi="ar-SA"/>
        </w:rPr>
      </w:pPr>
    </w:p>
    <w:p w14:paraId="759626E0" w14:textId="77777777" w:rsidR="009D30D2" w:rsidRPr="009D30D2" w:rsidRDefault="009D30D2" w:rsidP="009D30D2">
      <w:pPr>
        <w:tabs>
          <w:tab w:val="left" w:pos="851"/>
        </w:tabs>
        <w:rPr>
          <w:sz w:val="20"/>
          <w:szCs w:val="20"/>
          <w:lang w:bidi="ar-SA"/>
        </w:rPr>
      </w:pPr>
      <w:r w:rsidRPr="009D30D2">
        <w:rPr>
          <w:sz w:val="20"/>
          <w:szCs w:val="20"/>
          <w:lang w:bidi="ar-SA"/>
        </w:rPr>
        <w:t xml:space="preserve">Dated </w:t>
      </w:r>
      <w:r w:rsidRPr="009D30D2">
        <w:rPr>
          <w:color w:val="FF0000"/>
          <w:sz w:val="20"/>
          <w:szCs w:val="20"/>
          <w:lang w:bidi="ar-SA"/>
        </w:rPr>
        <w:t>[To be completed by the Delegate]</w:t>
      </w:r>
    </w:p>
    <w:p w14:paraId="1C5E48BA" w14:textId="77777777" w:rsidR="009D30D2" w:rsidRPr="009D30D2" w:rsidRDefault="009D30D2" w:rsidP="009D30D2">
      <w:pPr>
        <w:tabs>
          <w:tab w:val="left" w:pos="851"/>
        </w:tabs>
        <w:rPr>
          <w:sz w:val="20"/>
          <w:szCs w:val="20"/>
          <w:lang w:bidi="ar-SA"/>
        </w:rPr>
      </w:pPr>
    </w:p>
    <w:p w14:paraId="6818CA08" w14:textId="77777777" w:rsidR="009D30D2" w:rsidRPr="009D30D2" w:rsidRDefault="009D30D2" w:rsidP="009D30D2">
      <w:pPr>
        <w:tabs>
          <w:tab w:val="left" w:pos="851"/>
        </w:tabs>
        <w:rPr>
          <w:sz w:val="20"/>
          <w:szCs w:val="20"/>
          <w:lang w:bidi="ar-SA"/>
        </w:rPr>
      </w:pPr>
    </w:p>
    <w:p w14:paraId="1A0B732B" w14:textId="77777777" w:rsidR="009D30D2" w:rsidRPr="009D30D2" w:rsidRDefault="009D30D2" w:rsidP="009D30D2">
      <w:pPr>
        <w:tabs>
          <w:tab w:val="left" w:pos="851"/>
        </w:tabs>
        <w:rPr>
          <w:sz w:val="20"/>
          <w:szCs w:val="20"/>
          <w:lang w:bidi="ar-SA"/>
        </w:rPr>
      </w:pPr>
    </w:p>
    <w:p w14:paraId="444DFF6E" w14:textId="77777777" w:rsidR="009D30D2" w:rsidRPr="009D30D2" w:rsidRDefault="009D30D2" w:rsidP="009D30D2">
      <w:pPr>
        <w:tabs>
          <w:tab w:val="left" w:pos="851"/>
        </w:tabs>
        <w:rPr>
          <w:sz w:val="20"/>
          <w:szCs w:val="20"/>
          <w:lang w:bidi="ar-SA"/>
        </w:rPr>
      </w:pPr>
    </w:p>
    <w:p w14:paraId="7F4CEB62" w14:textId="77777777" w:rsidR="009D30D2" w:rsidRPr="009D30D2" w:rsidRDefault="009D30D2" w:rsidP="009D30D2">
      <w:pPr>
        <w:tabs>
          <w:tab w:val="left" w:pos="851"/>
        </w:tabs>
        <w:rPr>
          <w:sz w:val="20"/>
          <w:szCs w:val="20"/>
          <w:lang w:bidi="ar-SA"/>
        </w:rPr>
      </w:pPr>
    </w:p>
    <w:p w14:paraId="44EF194B" w14:textId="77777777" w:rsidR="009D30D2" w:rsidRPr="009D30D2" w:rsidRDefault="009D30D2" w:rsidP="009D30D2">
      <w:pPr>
        <w:tabs>
          <w:tab w:val="left" w:pos="851"/>
        </w:tabs>
        <w:rPr>
          <w:color w:val="FF0000"/>
          <w:sz w:val="20"/>
          <w:szCs w:val="20"/>
          <w:lang w:bidi="ar-SA"/>
        </w:rPr>
      </w:pPr>
      <w:r w:rsidRPr="009D30D2">
        <w:rPr>
          <w:color w:val="FF0000"/>
          <w:sz w:val="20"/>
          <w:szCs w:val="20"/>
          <w:lang w:bidi="ar-SA"/>
        </w:rPr>
        <w:t>[Insert name and title of Delegate]</w:t>
      </w:r>
    </w:p>
    <w:p w14:paraId="23AA347B" w14:textId="77777777" w:rsidR="009D30D2" w:rsidRPr="009D30D2" w:rsidRDefault="009D30D2" w:rsidP="009D30D2">
      <w:pPr>
        <w:tabs>
          <w:tab w:val="left" w:pos="851"/>
        </w:tabs>
        <w:rPr>
          <w:sz w:val="20"/>
          <w:szCs w:val="20"/>
          <w:lang w:bidi="ar-SA"/>
        </w:rPr>
      </w:pPr>
      <w:r w:rsidRPr="009D30D2">
        <w:rPr>
          <w:sz w:val="20"/>
          <w:szCs w:val="20"/>
          <w:lang w:bidi="ar-SA"/>
        </w:rPr>
        <w:t>Delegate of the Board of Food Standards Australia New Zealand</w:t>
      </w:r>
    </w:p>
    <w:p w14:paraId="53AC0B2E" w14:textId="77777777" w:rsidR="009D30D2" w:rsidRPr="009D30D2" w:rsidRDefault="009D30D2" w:rsidP="009D30D2">
      <w:pPr>
        <w:tabs>
          <w:tab w:val="left" w:pos="851"/>
        </w:tabs>
        <w:rPr>
          <w:sz w:val="20"/>
          <w:szCs w:val="20"/>
          <w:lang w:bidi="ar-SA"/>
        </w:rPr>
      </w:pPr>
    </w:p>
    <w:p w14:paraId="0A35BBE8" w14:textId="77777777" w:rsidR="009D30D2" w:rsidRPr="009D30D2" w:rsidRDefault="009D30D2" w:rsidP="009D30D2">
      <w:pPr>
        <w:tabs>
          <w:tab w:val="left" w:pos="851"/>
        </w:tabs>
        <w:rPr>
          <w:sz w:val="20"/>
          <w:szCs w:val="20"/>
          <w:lang w:bidi="ar-SA"/>
        </w:rPr>
      </w:pPr>
    </w:p>
    <w:p w14:paraId="4A765EBD" w14:textId="77777777" w:rsidR="009D30D2" w:rsidRPr="009D30D2" w:rsidRDefault="009D30D2" w:rsidP="009D30D2">
      <w:pPr>
        <w:tabs>
          <w:tab w:val="left" w:pos="851"/>
        </w:tabs>
        <w:rPr>
          <w:sz w:val="20"/>
          <w:szCs w:val="20"/>
          <w:lang w:bidi="ar-SA"/>
        </w:rPr>
      </w:pPr>
    </w:p>
    <w:p w14:paraId="3A1D5FFD" w14:textId="77777777" w:rsidR="009D30D2" w:rsidRPr="009D30D2" w:rsidRDefault="009D30D2" w:rsidP="009D30D2">
      <w:pPr>
        <w:tabs>
          <w:tab w:val="left" w:pos="851"/>
        </w:tabs>
        <w:rPr>
          <w:sz w:val="20"/>
          <w:szCs w:val="20"/>
          <w:lang w:bidi="ar-SA"/>
        </w:rPr>
      </w:pPr>
    </w:p>
    <w:p w14:paraId="13F832E5" w14:textId="77777777" w:rsidR="009D30D2" w:rsidRPr="009D30D2" w:rsidRDefault="009D30D2" w:rsidP="009D30D2">
      <w:pPr>
        <w:tabs>
          <w:tab w:val="left" w:pos="851"/>
        </w:tabs>
        <w:rPr>
          <w:sz w:val="20"/>
          <w:szCs w:val="20"/>
          <w:lang w:bidi="ar-SA"/>
        </w:rPr>
      </w:pPr>
    </w:p>
    <w:p w14:paraId="33C547B2" w14:textId="77777777" w:rsidR="009D30D2" w:rsidRPr="009D30D2" w:rsidRDefault="009D30D2" w:rsidP="009D30D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9D30D2">
        <w:rPr>
          <w:b/>
          <w:sz w:val="20"/>
          <w:szCs w:val="20"/>
          <w:lang w:val="en-AU" w:bidi="ar-SA"/>
        </w:rPr>
        <w:t xml:space="preserve">Note:  </w:t>
      </w:r>
    </w:p>
    <w:p w14:paraId="325C3C99" w14:textId="77777777" w:rsidR="009D30D2" w:rsidRPr="009D30D2" w:rsidRDefault="009D30D2" w:rsidP="009D30D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178D979F" w14:textId="77777777" w:rsidR="009D30D2" w:rsidRPr="009D30D2" w:rsidRDefault="009D30D2" w:rsidP="009D30D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9D30D2">
        <w:rPr>
          <w:sz w:val="20"/>
          <w:szCs w:val="20"/>
          <w:lang w:val="en-AU" w:bidi="ar-SA"/>
        </w:rPr>
        <w:t xml:space="preserve">This variation will be published in the Commonwealth of Australia Gazette No. FSC </w:t>
      </w:r>
      <w:r w:rsidRPr="009D30D2">
        <w:rPr>
          <w:color w:val="FF0000"/>
          <w:sz w:val="20"/>
          <w:szCs w:val="20"/>
          <w:lang w:val="en-AU" w:bidi="ar-SA"/>
        </w:rPr>
        <w:t>XX on XX Month 20XX</w:t>
      </w:r>
      <w:r w:rsidRPr="009D30D2">
        <w:rPr>
          <w:sz w:val="20"/>
          <w:szCs w:val="20"/>
          <w:lang w:val="en-AU" w:bidi="ar-SA"/>
        </w:rPr>
        <w:t xml:space="preserve">. This means that this date is the gazettal date for the purposes of clause 3 of the variation. </w:t>
      </w:r>
    </w:p>
    <w:p w14:paraId="2DFE60AA" w14:textId="77777777" w:rsidR="009D30D2" w:rsidRPr="009D30D2" w:rsidRDefault="009D30D2" w:rsidP="009D30D2">
      <w:pPr>
        <w:tabs>
          <w:tab w:val="left" w:pos="851"/>
        </w:tabs>
        <w:rPr>
          <w:sz w:val="20"/>
          <w:szCs w:val="20"/>
          <w:lang w:bidi="ar-SA"/>
        </w:rPr>
      </w:pPr>
    </w:p>
    <w:p w14:paraId="12CF328D" w14:textId="77777777" w:rsidR="009D30D2" w:rsidRPr="009D30D2" w:rsidRDefault="009D30D2" w:rsidP="009D30D2">
      <w:pPr>
        <w:widowControl/>
        <w:rPr>
          <w:sz w:val="20"/>
          <w:szCs w:val="20"/>
          <w:lang w:bidi="ar-SA"/>
        </w:rPr>
      </w:pPr>
      <w:r w:rsidRPr="009D30D2">
        <w:rPr>
          <w:sz w:val="20"/>
          <w:szCs w:val="20"/>
          <w:lang w:bidi="ar-SA"/>
        </w:rPr>
        <w:br w:type="page"/>
      </w:r>
    </w:p>
    <w:p w14:paraId="31D30811" w14:textId="77777777" w:rsidR="009D30D2" w:rsidRPr="009D30D2" w:rsidRDefault="009D30D2" w:rsidP="009D30D2">
      <w:pPr>
        <w:spacing w:before="120" w:after="120"/>
        <w:ind w:left="851" w:hanging="851"/>
        <w:rPr>
          <w:b/>
          <w:sz w:val="20"/>
          <w:szCs w:val="20"/>
          <w:lang w:bidi="ar-SA"/>
        </w:rPr>
      </w:pPr>
      <w:r w:rsidRPr="009D30D2">
        <w:rPr>
          <w:b/>
          <w:sz w:val="20"/>
          <w:szCs w:val="20"/>
          <w:lang w:bidi="ar-SA"/>
        </w:rPr>
        <w:lastRenderedPageBreak/>
        <w:t>1</w:t>
      </w:r>
      <w:r w:rsidRPr="009D30D2">
        <w:rPr>
          <w:b/>
          <w:sz w:val="20"/>
          <w:szCs w:val="20"/>
          <w:lang w:bidi="ar-SA"/>
        </w:rPr>
        <w:tab/>
        <w:t>Name</w:t>
      </w:r>
    </w:p>
    <w:p w14:paraId="07E93A8A" w14:textId="77777777" w:rsidR="009D30D2" w:rsidRPr="009D30D2" w:rsidRDefault="009D30D2" w:rsidP="009D30D2">
      <w:pPr>
        <w:widowControl/>
        <w:tabs>
          <w:tab w:val="left" w:pos="851"/>
        </w:tabs>
        <w:spacing w:before="120" w:after="120"/>
        <w:rPr>
          <w:sz w:val="20"/>
          <w:szCs w:val="20"/>
          <w:lang w:bidi="ar-SA"/>
        </w:rPr>
      </w:pPr>
      <w:r w:rsidRPr="009D30D2">
        <w:rPr>
          <w:sz w:val="20"/>
          <w:szCs w:val="20"/>
          <w:lang w:bidi="ar-SA"/>
        </w:rPr>
        <w:t xml:space="preserve">This instrument is the </w:t>
      </w:r>
      <w:r w:rsidRPr="009D30D2">
        <w:rPr>
          <w:i/>
          <w:sz w:val="20"/>
          <w:szCs w:val="20"/>
          <w:lang w:bidi="ar-SA"/>
        </w:rPr>
        <w:t>Food Standards (Application A1214 – Nicotinamide riboside chloride as Vitamin B3 in FSMP) Variation</w:t>
      </w:r>
      <w:r w:rsidRPr="009D30D2">
        <w:rPr>
          <w:sz w:val="20"/>
          <w:szCs w:val="20"/>
          <w:lang w:bidi="ar-SA"/>
        </w:rPr>
        <w:t>.</w:t>
      </w:r>
    </w:p>
    <w:p w14:paraId="197762C1" w14:textId="77777777" w:rsidR="009D30D2" w:rsidRPr="009D30D2" w:rsidRDefault="009D30D2" w:rsidP="009D30D2">
      <w:pPr>
        <w:spacing w:before="120" w:after="120"/>
        <w:ind w:left="851" w:hanging="851"/>
        <w:rPr>
          <w:b/>
          <w:sz w:val="20"/>
          <w:szCs w:val="20"/>
          <w:lang w:bidi="ar-SA"/>
        </w:rPr>
      </w:pPr>
      <w:r w:rsidRPr="009D30D2">
        <w:rPr>
          <w:b/>
          <w:sz w:val="20"/>
          <w:szCs w:val="20"/>
          <w:lang w:bidi="ar-SA"/>
        </w:rPr>
        <w:t>2</w:t>
      </w:r>
      <w:r w:rsidRPr="009D30D2">
        <w:rPr>
          <w:b/>
          <w:sz w:val="20"/>
          <w:szCs w:val="20"/>
          <w:lang w:bidi="ar-SA"/>
        </w:rPr>
        <w:tab/>
        <w:t xml:space="preserve">Variation to Standards in the </w:t>
      </w:r>
      <w:r w:rsidRPr="009D30D2">
        <w:rPr>
          <w:b/>
          <w:i/>
          <w:sz w:val="20"/>
          <w:szCs w:val="20"/>
          <w:lang w:bidi="ar-SA"/>
        </w:rPr>
        <w:t>Australia New Zealand Food Standards Code</w:t>
      </w:r>
    </w:p>
    <w:p w14:paraId="14143672" w14:textId="77777777" w:rsidR="009D30D2" w:rsidRPr="009D30D2" w:rsidRDefault="009D30D2" w:rsidP="009D30D2">
      <w:pPr>
        <w:widowControl/>
        <w:tabs>
          <w:tab w:val="left" w:pos="851"/>
        </w:tabs>
        <w:spacing w:before="120" w:after="120"/>
        <w:rPr>
          <w:sz w:val="20"/>
          <w:szCs w:val="20"/>
          <w:lang w:bidi="ar-SA"/>
        </w:rPr>
      </w:pPr>
      <w:r w:rsidRPr="009D30D2">
        <w:rPr>
          <w:sz w:val="20"/>
          <w:szCs w:val="20"/>
          <w:lang w:bidi="ar-SA"/>
        </w:rPr>
        <w:t xml:space="preserve">The Schedule varies Standards in the </w:t>
      </w:r>
      <w:r w:rsidRPr="009D30D2">
        <w:rPr>
          <w:i/>
          <w:sz w:val="20"/>
          <w:szCs w:val="20"/>
          <w:lang w:bidi="ar-SA"/>
        </w:rPr>
        <w:t>Australia New Zealand Food Standards Code</w:t>
      </w:r>
      <w:r w:rsidRPr="009D30D2">
        <w:rPr>
          <w:sz w:val="20"/>
          <w:szCs w:val="20"/>
          <w:lang w:bidi="ar-SA"/>
        </w:rPr>
        <w:t>.</w:t>
      </w:r>
    </w:p>
    <w:p w14:paraId="66796CF5" w14:textId="77777777" w:rsidR="009D30D2" w:rsidRPr="009D30D2" w:rsidRDefault="009D30D2" w:rsidP="009D30D2">
      <w:pPr>
        <w:spacing w:before="120" w:after="120"/>
        <w:ind w:left="851" w:hanging="851"/>
        <w:rPr>
          <w:b/>
          <w:sz w:val="20"/>
          <w:szCs w:val="20"/>
          <w:lang w:bidi="ar-SA"/>
        </w:rPr>
      </w:pPr>
      <w:r w:rsidRPr="009D30D2">
        <w:rPr>
          <w:b/>
          <w:sz w:val="20"/>
          <w:szCs w:val="20"/>
          <w:lang w:bidi="ar-SA"/>
        </w:rPr>
        <w:t>3</w:t>
      </w:r>
      <w:r w:rsidRPr="009D30D2">
        <w:rPr>
          <w:b/>
          <w:sz w:val="20"/>
          <w:szCs w:val="20"/>
          <w:lang w:bidi="ar-SA"/>
        </w:rPr>
        <w:tab/>
        <w:t>Commencement</w:t>
      </w:r>
    </w:p>
    <w:p w14:paraId="5B55E006" w14:textId="77777777" w:rsidR="009D30D2" w:rsidRPr="009D30D2" w:rsidRDefault="009D30D2" w:rsidP="009D30D2">
      <w:pPr>
        <w:widowControl/>
        <w:tabs>
          <w:tab w:val="left" w:pos="851"/>
        </w:tabs>
        <w:spacing w:before="120" w:after="120"/>
        <w:rPr>
          <w:sz w:val="20"/>
          <w:szCs w:val="20"/>
          <w:lang w:bidi="ar-SA"/>
        </w:rPr>
      </w:pPr>
      <w:r w:rsidRPr="009D30D2">
        <w:rPr>
          <w:sz w:val="20"/>
          <w:szCs w:val="20"/>
          <w:lang w:bidi="ar-SA"/>
        </w:rPr>
        <w:t>The variation commences on the date of gazettal.</w:t>
      </w:r>
    </w:p>
    <w:p w14:paraId="08802B09" w14:textId="77777777" w:rsidR="009D30D2" w:rsidRPr="009D30D2" w:rsidRDefault="009D30D2" w:rsidP="009D30D2">
      <w:pPr>
        <w:tabs>
          <w:tab w:val="left" w:pos="851"/>
        </w:tabs>
        <w:jc w:val="center"/>
        <w:rPr>
          <w:b/>
          <w:sz w:val="20"/>
          <w:szCs w:val="20"/>
          <w:lang w:bidi="ar-SA"/>
        </w:rPr>
      </w:pPr>
      <w:r w:rsidRPr="009D30D2">
        <w:rPr>
          <w:b/>
          <w:sz w:val="20"/>
          <w:szCs w:val="20"/>
          <w:lang w:bidi="ar-SA"/>
        </w:rPr>
        <w:t>Schedule</w:t>
      </w:r>
    </w:p>
    <w:p w14:paraId="37FFBE7A" w14:textId="77777777" w:rsidR="009D30D2" w:rsidRPr="009D30D2" w:rsidRDefault="009D30D2" w:rsidP="009D30D2">
      <w:pPr>
        <w:widowControl/>
        <w:tabs>
          <w:tab w:val="left" w:pos="851"/>
        </w:tabs>
        <w:spacing w:before="120" w:after="120"/>
        <w:rPr>
          <w:sz w:val="20"/>
          <w:szCs w:val="20"/>
          <w:lang w:bidi="ar-SA"/>
        </w:rPr>
      </w:pPr>
      <w:r w:rsidRPr="009D30D2">
        <w:rPr>
          <w:b/>
          <w:sz w:val="20"/>
          <w:szCs w:val="20"/>
        </w:rPr>
        <w:t>[1]</w:t>
      </w:r>
      <w:r w:rsidRPr="009D30D2">
        <w:rPr>
          <w:b/>
          <w:sz w:val="20"/>
          <w:szCs w:val="20"/>
        </w:rPr>
        <w:tab/>
        <w:t>Schedule 3</w:t>
      </w:r>
      <w:r w:rsidRPr="009D30D2">
        <w:rPr>
          <w:sz w:val="20"/>
          <w:szCs w:val="20"/>
        </w:rPr>
        <w:t xml:space="preserve"> is varied by</w:t>
      </w:r>
      <w:r w:rsidRPr="009D30D2">
        <w:rPr>
          <w:sz w:val="20"/>
          <w:szCs w:val="20"/>
          <w:lang w:bidi="ar-SA"/>
        </w:rPr>
        <w:t xml:space="preserve"> </w:t>
      </w:r>
    </w:p>
    <w:p w14:paraId="693B2FBA" w14:textId="77777777" w:rsidR="009D30D2" w:rsidRPr="009D30D2" w:rsidRDefault="009D30D2" w:rsidP="009D30D2">
      <w:pPr>
        <w:widowControl/>
        <w:tabs>
          <w:tab w:val="left" w:pos="851"/>
        </w:tabs>
        <w:spacing w:before="120" w:after="120"/>
        <w:rPr>
          <w:sz w:val="20"/>
          <w:szCs w:val="20"/>
          <w:lang w:bidi="ar-SA"/>
        </w:rPr>
      </w:pPr>
      <w:r w:rsidRPr="009D30D2">
        <w:rPr>
          <w:sz w:val="20"/>
          <w:szCs w:val="20"/>
          <w:lang w:bidi="ar-SA"/>
        </w:rPr>
        <w:t>[1.1]</w:t>
      </w:r>
      <w:r w:rsidRPr="009D30D2">
        <w:rPr>
          <w:sz w:val="20"/>
          <w:szCs w:val="20"/>
          <w:lang w:bidi="ar-SA"/>
        </w:rPr>
        <w:tab/>
        <w:t>inserting into the table to subsection S3—2(2), in alphabetical order</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2550"/>
      </w:tblGrid>
      <w:tr w:rsidR="009D30D2" w:rsidRPr="009D30D2" w14:paraId="6E9BB0E1" w14:textId="77777777" w:rsidTr="00CB622E">
        <w:trPr>
          <w:cantSplit/>
          <w:jc w:val="center"/>
        </w:trPr>
        <w:tc>
          <w:tcPr>
            <w:tcW w:w="4254" w:type="dxa"/>
          </w:tcPr>
          <w:p w14:paraId="1EA2D182" w14:textId="77777777" w:rsidR="009D30D2" w:rsidRPr="009D30D2" w:rsidRDefault="009D30D2" w:rsidP="009D30D2">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Nicotinamide riboside chloride</w:t>
            </w:r>
          </w:p>
        </w:tc>
        <w:tc>
          <w:tcPr>
            <w:tcW w:w="2550" w:type="dxa"/>
          </w:tcPr>
          <w:p w14:paraId="674C2105" w14:textId="0BBC66C9" w:rsidR="009D30D2" w:rsidRPr="009D30D2" w:rsidRDefault="00F9619B" w:rsidP="009D30D2">
            <w:pPr>
              <w:keepLines/>
              <w:widowControl/>
              <w:tabs>
                <w:tab w:val="right" w:pos="3969"/>
              </w:tabs>
              <w:spacing w:before="60" w:after="60"/>
              <w:rPr>
                <w:rFonts w:cs="Arial"/>
                <w:sz w:val="18"/>
                <w:szCs w:val="20"/>
                <w:lang w:eastAsia="en-AU" w:bidi="ar-SA"/>
              </w:rPr>
            </w:pPr>
            <w:r>
              <w:rPr>
                <w:rFonts w:cs="Arial"/>
                <w:sz w:val="18"/>
                <w:szCs w:val="20"/>
                <w:lang w:eastAsia="en-AU" w:bidi="ar-SA"/>
              </w:rPr>
              <w:t>section S3—44</w:t>
            </w:r>
          </w:p>
        </w:tc>
      </w:tr>
    </w:tbl>
    <w:p w14:paraId="65DD8F70" w14:textId="77777777" w:rsidR="009D30D2" w:rsidRPr="009D30D2" w:rsidRDefault="009D30D2" w:rsidP="009D30D2">
      <w:pPr>
        <w:widowControl/>
        <w:tabs>
          <w:tab w:val="left" w:pos="851"/>
        </w:tabs>
        <w:spacing w:before="120" w:after="120"/>
        <w:rPr>
          <w:sz w:val="20"/>
          <w:szCs w:val="20"/>
          <w:lang w:bidi="ar-SA"/>
        </w:rPr>
      </w:pPr>
    </w:p>
    <w:p w14:paraId="7FD4A482" w14:textId="4153AAE5" w:rsidR="009D30D2" w:rsidRPr="009D30D2" w:rsidRDefault="009D30D2" w:rsidP="009D30D2">
      <w:pPr>
        <w:widowControl/>
        <w:tabs>
          <w:tab w:val="left" w:pos="851"/>
        </w:tabs>
        <w:spacing w:before="120" w:after="120"/>
        <w:rPr>
          <w:sz w:val="20"/>
          <w:szCs w:val="20"/>
          <w:lang w:bidi="ar-SA"/>
        </w:rPr>
      </w:pPr>
      <w:r w:rsidRPr="009D30D2">
        <w:rPr>
          <w:sz w:val="20"/>
          <w:szCs w:val="20"/>
          <w:lang w:bidi="ar-SA"/>
        </w:rPr>
        <w:t>[1.2]</w:t>
      </w:r>
      <w:r w:rsidRPr="009D30D2">
        <w:rPr>
          <w:sz w:val="20"/>
          <w:szCs w:val="20"/>
          <w:lang w:bidi="ar-SA"/>
        </w:rPr>
        <w:tab/>
        <w:t>inserting after section S3—4</w:t>
      </w:r>
      <w:r w:rsidR="00F9619B">
        <w:rPr>
          <w:sz w:val="20"/>
          <w:szCs w:val="20"/>
          <w:lang w:bidi="ar-SA"/>
        </w:rPr>
        <w:t>3</w:t>
      </w:r>
      <w:r w:rsidRPr="009D30D2">
        <w:rPr>
          <w:sz w:val="20"/>
          <w:szCs w:val="20"/>
          <w:lang w:bidi="ar-SA"/>
        </w:rPr>
        <w:t xml:space="preserve"> </w:t>
      </w:r>
    </w:p>
    <w:p w14:paraId="1BB813DA" w14:textId="06170F4B" w:rsidR="009D30D2" w:rsidRPr="009D30D2" w:rsidRDefault="009D30D2" w:rsidP="009D30D2">
      <w:pPr>
        <w:keepNext/>
        <w:tabs>
          <w:tab w:val="left" w:pos="851"/>
        </w:tabs>
        <w:spacing w:before="240" w:after="120"/>
        <w:ind w:left="1701" w:hanging="1701"/>
        <w:outlineLvl w:val="4"/>
        <w:rPr>
          <w:rFonts w:cs="Arial"/>
          <w:b/>
          <w:bCs/>
          <w:kern w:val="32"/>
          <w:sz w:val="20"/>
          <w:szCs w:val="20"/>
          <w:lang w:bidi="ar-SA"/>
        </w:rPr>
      </w:pPr>
      <w:r w:rsidRPr="009D30D2">
        <w:rPr>
          <w:rFonts w:cs="Arial"/>
          <w:b/>
          <w:bCs/>
          <w:kern w:val="32"/>
          <w:sz w:val="20"/>
          <w:szCs w:val="20"/>
          <w:lang w:bidi="ar-SA"/>
        </w:rPr>
        <w:t>S3—4</w:t>
      </w:r>
      <w:r w:rsidR="00F9619B">
        <w:rPr>
          <w:rFonts w:cs="Arial"/>
          <w:b/>
          <w:bCs/>
          <w:kern w:val="32"/>
          <w:sz w:val="20"/>
          <w:szCs w:val="20"/>
          <w:lang w:bidi="ar-SA"/>
        </w:rPr>
        <w:t>4</w:t>
      </w:r>
      <w:r w:rsidRPr="009D30D2">
        <w:rPr>
          <w:rFonts w:cs="Arial"/>
          <w:b/>
          <w:bCs/>
          <w:kern w:val="32"/>
          <w:sz w:val="20"/>
          <w:szCs w:val="20"/>
          <w:lang w:bidi="ar-SA"/>
        </w:rPr>
        <w:tab/>
        <w:t>Specification for Nicotinamide riboside chloride</w:t>
      </w:r>
    </w:p>
    <w:p w14:paraId="7FDE5926" w14:textId="77777777" w:rsidR="009D30D2" w:rsidRPr="009D30D2" w:rsidRDefault="009D30D2" w:rsidP="009D30D2">
      <w:pPr>
        <w:numPr>
          <w:ilvl w:val="0"/>
          <w:numId w:val="17"/>
        </w:numPr>
        <w:tabs>
          <w:tab w:val="left" w:pos="851"/>
          <w:tab w:val="left" w:pos="1134"/>
        </w:tabs>
        <w:spacing w:before="120" w:after="120"/>
        <w:rPr>
          <w:rFonts w:cs="Arial"/>
          <w:iCs/>
          <w:sz w:val="20"/>
          <w:szCs w:val="20"/>
          <w:lang w:bidi="ar-SA"/>
        </w:rPr>
      </w:pPr>
      <w:r w:rsidRPr="009D30D2">
        <w:rPr>
          <w:rFonts w:cs="Arial"/>
          <w:iCs/>
          <w:sz w:val="20"/>
          <w:szCs w:val="20"/>
          <w:lang w:bidi="ar-SA"/>
        </w:rPr>
        <w:t>In this section,</w:t>
      </w:r>
    </w:p>
    <w:p w14:paraId="100F0789" w14:textId="77777777" w:rsidR="009D30D2" w:rsidRPr="009D30D2" w:rsidRDefault="009D30D2" w:rsidP="009D30D2">
      <w:pPr>
        <w:tabs>
          <w:tab w:val="left" w:pos="851"/>
          <w:tab w:val="left" w:pos="1134"/>
        </w:tabs>
        <w:spacing w:before="120" w:after="120"/>
        <w:ind w:left="1700"/>
        <w:rPr>
          <w:sz w:val="20"/>
          <w:szCs w:val="20"/>
          <w:lang w:bidi="ar-SA"/>
        </w:rPr>
      </w:pPr>
      <w:r w:rsidRPr="009D30D2">
        <w:rPr>
          <w:b/>
          <w:i/>
          <w:sz w:val="20"/>
          <w:szCs w:val="20"/>
          <w:lang w:bidi="ar-SA"/>
        </w:rPr>
        <w:t xml:space="preserve">Nicotinamide riboside chloride </w:t>
      </w:r>
      <w:r w:rsidRPr="009D30D2">
        <w:rPr>
          <w:sz w:val="20"/>
          <w:szCs w:val="20"/>
          <w:lang w:bidi="ar-SA"/>
        </w:rPr>
        <w:t>(CAS Number 23111-00-4) is the chemical with:</w:t>
      </w:r>
    </w:p>
    <w:p w14:paraId="2BA0C8A5" w14:textId="77777777" w:rsidR="009D30D2" w:rsidRPr="009D30D2" w:rsidRDefault="009D30D2" w:rsidP="009D30D2">
      <w:pPr>
        <w:numPr>
          <w:ilvl w:val="0"/>
          <w:numId w:val="18"/>
        </w:numPr>
        <w:tabs>
          <w:tab w:val="left" w:pos="851"/>
        </w:tabs>
        <w:contextualSpacing/>
        <w:rPr>
          <w:rFonts w:cs="Arial"/>
          <w:iCs/>
          <w:sz w:val="20"/>
          <w:szCs w:val="20"/>
          <w:lang w:bidi="ar-SA"/>
        </w:rPr>
      </w:pPr>
      <w:r w:rsidRPr="009D30D2">
        <w:rPr>
          <w:rFonts w:cs="Arial"/>
          <w:iCs/>
          <w:sz w:val="20"/>
          <w:szCs w:val="20"/>
          <w:lang w:bidi="ar-SA"/>
        </w:rPr>
        <w:t>the chemical name Pyridinium, 3-(aminocarbonyl)-1-β-D-ribofuranosyl-, chloride (1:1);</w:t>
      </w:r>
    </w:p>
    <w:p w14:paraId="523E2C6B" w14:textId="77777777" w:rsidR="009D30D2" w:rsidRPr="009D30D2" w:rsidRDefault="009D30D2" w:rsidP="009D30D2">
      <w:pPr>
        <w:numPr>
          <w:ilvl w:val="0"/>
          <w:numId w:val="18"/>
        </w:numPr>
        <w:tabs>
          <w:tab w:val="left" w:pos="851"/>
        </w:tabs>
        <w:contextualSpacing/>
        <w:rPr>
          <w:rFonts w:cs="Arial"/>
          <w:iCs/>
          <w:sz w:val="20"/>
          <w:szCs w:val="20"/>
          <w:lang w:bidi="ar-SA"/>
        </w:rPr>
      </w:pPr>
      <w:r w:rsidRPr="009D30D2">
        <w:rPr>
          <w:rFonts w:cs="Arial"/>
          <w:iCs/>
          <w:sz w:val="20"/>
          <w:szCs w:val="20"/>
          <w:lang w:bidi="ar-SA"/>
        </w:rPr>
        <w:t xml:space="preserve">the formula </w:t>
      </w:r>
      <w:r w:rsidRPr="009D30D2">
        <w:rPr>
          <w:rFonts w:cs="Arial"/>
          <w:szCs w:val="20"/>
          <w:lang w:bidi="ar-SA"/>
        </w:rPr>
        <w:t>C</w:t>
      </w:r>
      <w:r w:rsidRPr="009D30D2">
        <w:rPr>
          <w:rFonts w:cs="Arial"/>
          <w:szCs w:val="20"/>
          <w:vertAlign w:val="subscript"/>
          <w:lang w:bidi="ar-SA"/>
        </w:rPr>
        <w:t>11</w:t>
      </w:r>
      <w:r w:rsidRPr="009D30D2">
        <w:rPr>
          <w:rFonts w:cs="Arial"/>
          <w:szCs w:val="20"/>
          <w:lang w:bidi="ar-SA"/>
        </w:rPr>
        <w:t>H</w:t>
      </w:r>
      <w:r w:rsidRPr="009D30D2">
        <w:rPr>
          <w:rFonts w:cs="Arial"/>
          <w:szCs w:val="20"/>
          <w:vertAlign w:val="subscript"/>
          <w:lang w:bidi="ar-SA"/>
        </w:rPr>
        <w:t>15</w:t>
      </w:r>
      <w:r w:rsidRPr="009D30D2">
        <w:rPr>
          <w:rFonts w:cs="Arial"/>
          <w:szCs w:val="20"/>
          <w:lang w:bidi="ar-SA"/>
        </w:rPr>
        <w:t>N</w:t>
      </w:r>
      <w:r w:rsidRPr="009D30D2">
        <w:rPr>
          <w:rFonts w:cs="Arial"/>
          <w:szCs w:val="20"/>
          <w:vertAlign w:val="subscript"/>
          <w:lang w:bidi="ar-SA"/>
        </w:rPr>
        <w:t>2</w:t>
      </w:r>
      <w:r w:rsidRPr="009D30D2">
        <w:rPr>
          <w:rFonts w:cs="Arial"/>
          <w:szCs w:val="20"/>
          <w:lang w:bidi="ar-SA"/>
        </w:rPr>
        <w:t>O</w:t>
      </w:r>
      <w:r w:rsidRPr="009D30D2">
        <w:rPr>
          <w:rFonts w:cs="Arial"/>
          <w:szCs w:val="20"/>
          <w:vertAlign w:val="subscript"/>
          <w:lang w:bidi="ar-SA"/>
        </w:rPr>
        <w:t>5</w:t>
      </w:r>
      <w:r w:rsidRPr="009D30D2">
        <w:rPr>
          <w:rFonts w:cs="Arial"/>
          <w:szCs w:val="20"/>
          <w:lang w:bidi="ar-SA"/>
        </w:rPr>
        <w:t>·Cl</w:t>
      </w:r>
      <w:r w:rsidRPr="009D30D2">
        <w:rPr>
          <w:rFonts w:cs="Arial"/>
          <w:iCs/>
          <w:sz w:val="20"/>
          <w:szCs w:val="20"/>
          <w:lang w:bidi="ar-SA"/>
        </w:rPr>
        <w:t>;</w:t>
      </w:r>
    </w:p>
    <w:p w14:paraId="363AF3D7" w14:textId="77777777" w:rsidR="009D30D2" w:rsidRPr="009D30D2" w:rsidRDefault="009D30D2" w:rsidP="009D30D2">
      <w:pPr>
        <w:numPr>
          <w:ilvl w:val="0"/>
          <w:numId w:val="18"/>
        </w:numPr>
        <w:tabs>
          <w:tab w:val="left" w:pos="851"/>
          <w:tab w:val="left" w:pos="1134"/>
        </w:tabs>
        <w:spacing w:before="120" w:after="120"/>
        <w:rPr>
          <w:rFonts w:cs="Arial"/>
          <w:iCs/>
          <w:sz w:val="20"/>
          <w:szCs w:val="20"/>
          <w:lang w:bidi="ar-SA"/>
        </w:rPr>
      </w:pPr>
      <w:r w:rsidRPr="009D30D2">
        <w:rPr>
          <w:rFonts w:cs="Arial"/>
          <w:iCs/>
          <w:sz w:val="20"/>
          <w:szCs w:val="20"/>
          <w:lang w:bidi="ar-SA"/>
        </w:rPr>
        <w:t>the formula weight 290.7 g/mol.</w:t>
      </w:r>
    </w:p>
    <w:p w14:paraId="0EA95953" w14:textId="77777777" w:rsidR="009D30D2" w:rsidRPr="009D30D2" w:rsidRDefault="009D30D2" w:rsidP="009D30D2">
      <w:pPr>
        <w:numPr>
          <w:ilvl w:val="0"/>
          <w:numId w:val="17"/>
        </w:numPr>
        <w:tabs>
          <w:tab w:val="left" w:pos="851"/>
          <w:tab w:val="left" w:pos="1134"/>
        </w:tabs>
        <w:spacing w:before="120" w:after="120"/>
        <w:rPr>
          <w:rFonts w:cs="Arial"/>
          <w:iCs/>
          <w:sz w:val="20"/>
          <w:szCs w:val="20"/>
          <w:lang w:bidi="ar-SA"/>
        </w:rPr>
      </w:pPr>
      <w:r w:rsidRPr="009D30D2">
        <w:rPr>
          <w:rFonts w:cs="Arial"/>
          <w:iCs/>
          <w:sz w:val="20"/>
          <w:szCs w:val="20"/>
          <w:lang w:bidi="ar-SA"/>
        </w:rPr>
        <w:t>For Nicotinamide riboside chloride, the specifications are the following:</w:t>
      </w:r>
    </w:p>
    <w:p w14:paraId="11D46CF1" w14:textId="77777777" w:rsidR="009D30D2" w:rsidRPr="009D30D2" w:rsidRDefault="009D30D2" w:rsidP="009D30D2">
      <w:pPr>
        <w:numPr>
          <w:ilvl w:val="0"/>
          <w:numId w:val="19"/>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description—a white to light brown powder;</w:t>
      </w:r>
    </w:p>
    <w:p w14:paraId="1D641E56" w14:textId="77777777" w:rsidR="009D30D2" w:rsidRPr="009D30D2" w:rsidRDefault="009D30D2" w:rsidP="009D30D2">
      <w:pPr>
        <w:numPr>
          <w:ilvl w:val="0"/>
          <w:numId w:val="19"/>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solubility—freely soluble in water;</w:t>
      </w:r>
    </w:p>
    <w:p w14:paraId="24EC9958" w14:textId="6313C990" w:rsidR="009D30D2" w:rsidRPr="009D30D2" w:rsidRDefault="009D30D2" w:rsidP="009D30D2">
      <w:pPr>
        <w:numPr>
          <w:ilvl w:val="0"/>
          <w:numId w:val="19"/>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assay—not less than 90.0 w/w</w:t>
      </w:r>
      <w:r w:rsidR="009A21E7">
        <w:rPr>
          <w:rFonts w:eastAsia="Calibri" w:cs="Arial"/>
          <w:iCs/>
          <w:sz w:val="20"/>
          <w:szCs w:val="20"/>
          <w:lang w:eastAsia="en-AU" w:bidi="ar-SA"/>
        </w:rPr>
        <w:t xml:space="preserve"> % and not more than 103 w/w %;</w:t>
      </w:r>
    </w:p>
    <w:p w14:paraId="23C37F1D" w14:textId="77777777" w:rsidR="009D30D2" w:rsidRPr="009D30D2" w:rsidRDefault="009D30D2" w:rsidP="009D30D2">
      <w:pPr>
        <w:numPr>
          <w:ilvl w:val="0"/>
          <w:numId w:val="19"/>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water—not more than 2.0 w/w %;</w:t>
      </w:r>
    </w:p>
    <w:p w14:paraId="1DF05394" w14:textId="77777777" w:rsidR="009D30D2" w:rsidRPr="009D30D2" w:rsidRDefault="009D30D2" w:rsidP="009D30D2">
      <w:pPr>
        <w:numPr>
          <w:ilvl w:val="0"/>
          <w:numId w:val="19"/>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residual solvents:</w:t>
      </w:r>
    </w:p>
    <w:p w14:paraId="27C318A7"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acetone—not more than 5000 ppm; and</w:t>
      </w:r>
    </w:p>
    <w:p w14:paraId="029587E1"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methanol—not more than 1000 ppm; and</w:t>
      </w:r>
    </w:p>
    <w:p w14:paraId="3D8A619C"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acetonitrile—not more than 50 ppm; and</w:t>
      </w:r>
    </w:p>
    <w:p w14:paraId="00CF7139"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methyl tert-butyl ether—not more than 500 ppm;</w:t>
      </w:r>
    </w:p>
    <w:p w14:paraId="31375021" w14:textId="77777777" w:rsidR="009D30D2" w:rsidRPr="009D30D2" w:rsidRDefault="009D30D2" w:rsidP="009D30D2">
      <w:pPr>
        <w:numPr>
          <w:ilvl w:val="0"/>
          <w:numId w:val="19"/>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reaction by-products:</w:t>
      </w:r>
    </w:p>
    <w:p w14:paraId="3209D337"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methyl acetate—not more than 1000 ppm; and</w:t>
      </w:r>
    </w:p>
    <w:p w14:paraId="3DF8A010"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acetamide—not more than 27 ppm; and</w:t>
      </w:r>
    </w:p>
    <w:p w14:paraId="0621550E"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acetic acid—not more than 5000 ppm;</w:t>
      </w:r>
    </w:p>
    <w:p w14:paraId="47C89D9A" w14:textId="77777777" w:rsidR="009D30D2" w:rsidRPr="009D30D2" w:rsidRDefault="009D30D2" w:rsidP="009D30D2">
      <w:pPr>
        <w:numPr>
          <w:ilvl w:val="0"/>
          <w:numId w:val="19"/>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arsenic and heavy metals:</w:t>
      </w:r>
    </w:p>
    <w:p w14:paraId="7652FA87"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arsenic—not more than 1 ppm; and</w:t>
      </w:r>
    </w:p>
    <w:p w14:paraId="68620839"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mercury—not more than 1 ppm; and</w:t>
      </w:r>
    </w:p>
    <w:p w14:paraId="13E2643A"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cadmium—not more than 1 ppm; and</w:t>
      </w:r>
    </w:p>
    <w:p w14:paraId="6F2BBFA9"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lead—not more than 0.5 ppm;</w:t>
      </w:r>
    </w:p>
    <w:p w14:paraId="7C64B83E" w14:textId="77777777" w:rsidR="009D30D2" w:rsidRPr="009D30D2" w:rsidRDefault="009D30D2" w:rsidP="009D30D2">
      <w:pPr>
        <w:numPr>
          <w:ilvl w:val="0"/>
          <w:numId w:val="19"/>
        </w:numPr>
        <w:tabs>
          <w:tab w:val="left" w:pos="851"/>
          <w:tab w:val="left" w:pos="1701"/>
        </w:tabs>
        <w:spacing w:before="60" w:after="60"/>
        <w:ind w:left="2268"/>
        <w:rPr>
          <w:rFonts w:eastAsia="Calibri" w:cs="Arial"/>
          <w:iCs/>
          <w:sz w:val="20"/>
          <w:szCs w:val="20"/>
          <w:lang w:eastAsia="en-AU" w:bidi="ar-SA"/>
        </w:rPr>
      </w:pPr>
      <w:r w:rsidRPr="009D30D2">
        <w:rPr>
          <w:rFonts w:eastAsia="Calibri" w:cs="Arial"/>
          <w:iCs/>
          <w:sz w:val="20"/>
          <w:szCs w:val="20"/>
          <w:lang w:eastAsia="en-AU" w:bidi="ar-SA"/>
        </w:rPr>
        <w:t>microbial limits:</w:t>
      </w:r>
    </w:p>
    <w:p w14:paraId="3EFD1A7C"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 xml:space="preserve">standard plate count—maximum 1000 cfu/g; and </w:t>
      </w:r>
    </w:p>
    <w:p w14:paraId="0EEDD98C"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Cs/>
          <w:sz w:val="20"/>
          <w:szCs w:val="20"/>
          <w:lang w:eastAsia="en-AU" w:bidi="ar-SA"/>
        </w:rPr>
        <w:t xml:space="preserve">yeast and mould—maximum 100 cfu/g; and </w:t>
      </w:r>
    </w:p>
    <w:p w14:paraId="55BF82CF" w14:textId="77777777" w:rsidR="009D30D2" w:rsidRPr="009D30D2" w:rsidRDefault="009D30D2" w:rsidP="009D30D2">
      <w:pPr>
        <w:numPr>
          <w:ilvl w:val="1"/>
          <w:numId w:val="19"/>
        </w:numPr>
        <w:tabs>
          <w:tab w:val="left" w:pos="851"/>
          <w:tab w:val="left" w:pos="1701"/>
        </w:tabs>
        <w:spacing w:before="60" w:after="60"/>
        <w:rPr>
          <w:rFonts w:eastAsia="Calibri" w:cs="Arial"/>
          <w:iCs/>
          <w:sz w:val="20"/>
          <w:szCs w:val="20"/>
          <w:lang w:eastAsia="en-AU" w:bidi="ar-SA"/>
        </w:rPr>
      </w:pPr>
      <w:r w:rsidRPr="009D30D2">
        <w:rPr>
          <w:rFonts w:eastAsia="Calibri" w:cs="Arial"/>
          <w:i/>
          <w:iCs/>
          <w:sz w:val="20"/>
          <w:szCs w:val="20"/>
          <w:lang w:eastAsia="en-AU" w:bidi="ar-SA"/>
        </w:rPr>
        <w:lastRenderedPageBreak/>
        <w:t>Escherichia coli</w:t>
      </w:r>
      <w:r w:rsidRPr="009D30D2">
        <w:rPr>
          <w:rFonts w:eastAsia="Calibri" w:cs="Arial"/>
          <w:iCs/>
          <w:sz w:val="20"/>
          <w:szCs w:val="20"/>
          <w:lang w:eastAsia="en-AU" w:bidi="ar-SA"/>
        </w:rPr>
        <w:t>—absent in 10 g.</w:t>
      </w:r>
      <w:r w:rsidRPr="009D30D2">
        <w:rPr>
          <w:rFonts w:eastAsia="Calibri" w:cs="Arial"/>
          <w:iCs/>
          <w:sz w:val="20"/>
          <w:szCs w:val="20"/>
          <w:lang w:eastAsia="en-AU" w:bidi="ar-SA"/>
        </w:rPr>
        <w:br/>
      </w:r>
    </w:p>
    <w:p w14:paraId="2F0A2CD2" w14:textId="77777777" w:rsidR="009D30D2" w:rsidRPr="009D30D2" w:rsidRDefault="009D30D2" w:rsidP="009D30D2">
      <w:pPr>
        <w:widowControl/>
        <w:tabs>
          <w:tab w:val="left" w:pos="851"/>
        </w:tabs>
        <w:spacing w:before="120" w:after="120"/>
        <w:rPr>
          <w:sz w:val="20"/>
          <w:szCs w:val="20"/>
          <w:lang w:bidi="ar-SA"/>
        </w:rPr>
      </w:pPr>
      <w:r w:rsidRPr="009D30D2">
        <w:rPr>
          <w:b/>
          <w:sz w:val="20"/>
          <w:szCs w:val="20"/>
        </w:rPr>
        <w:t>[2]</w:t>
      </w:r>
      <w:r w:rsidRPr="009D30D2">
        <w:rPr>
          <w:b/>
          <w:sz w:val="20"/>
          <w:szCs w:val="20"/>
        </w:rPr>
        <w:tab/>
        <w:t xml:space="preserve">Schedule 29 </w:t>
      </w:r>
      <w:r w:rsidRPr="009D30D2">
        <w:rPr>
          <w:sz w:val="20"/>
          <w:szCs w:val="20"/>
        </w:rPr>
        <w:t>is varied by</w:t>
      </w:r>
      <w:r w:rsidRPr="009D30D2">
        <w:rPr>
          <w:sz w:val="20"/>
          <w:szCs w:val="20"/>
          <w:lang w:bidi="ar-SA"/>
        </w:rPr>
        <w:t xml:space="preserve"> omitting from the table to section S29—20 </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4262"/>
      </w:tblGrid>
      <w:tr w:rsidR="009D30D2" w:rsidRPr="009D30D2" w14:paraId="26E03E54" w14:textId="77777777" w:rsidTr="00CB622E">
        <w:trPr>
          <w:cantSplit/>
          <w:jc w:val="center"/>
        </w:trPr>
        <w:tc>
          <w:tcPr>
            <w:tcW w:w="2542" w:type="dxa"/>
          </w:tcPr>
          <w:p w14:paraId="3466442A" w14:textId="77777777" w:rsidR="009D30D2" w:rsidRPr="009D30D2" w:rsidRDefault="009D30D2" w:rsidP="009D30D2">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Niacin</w:t>
            </w:r>
          </w:p>
        </w:tc>
        <w:tc>
          <w:tcPr>
            <w:tcW w:w="4262" w:type="dxa"/>
          </w:tcPr>
          <w:p w14:paraId="5251CADC" w14:textId="77777777" w:rsidR="009D30D2" w:rsidRPr="009D30D2" w:rsidRDefault="009D30D2" w:rsidP="009D30D2">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Nicotinic acid</w:t>
            </w:r>
          </w:p>
        </w:tc>
      </w:tr>
    </w:tbl>
    <w:p w14:paraId="03C3DF48" w14:textId="77777777" w:rsidR="009D30D2" w:rsidRPr="009D30D2" w:rsidRDefault="009D30D2" w:rsidP="009D30D2">
      <w:pPr>
        <w:widowControl/>
        <w:tabs>
          <w:tab w:val="left" w:pos="851"/>
        </w:tabs>
        <w:spacing w:before="120" w:after="120"/>
        <w:ind w:left="743"/>
        <w:rPr>
          <w:sz w:val="20"/>
          <w:szCs w:val="20"/>
          <w:lang w:bidi="ar-SA"/>
        </w:rPr>
      </w:pPr>
      <w:r w:rsidRPr="009D30D2">
        <w:rPr>
          <w:sz w:val="20"/>
          <w:szCs w:val="20"/>
          <w:lang w:bidi="ar-SA"/>
        </w:rPr>
        <w:t>substituting</w:t>
      </w:r>
    </w:p>
    <w:tbl>
      <w:tblPr>
        <w:tblStyle w:val="TableGrid1"/>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4262"/>
      </w:tblGrid>
      <w:tr w:rsidR="009D30D2" w:rsidRPr="009D30D2" w14:paraId="12CBEE58" w14:textId="77777777" w:rsidTr="00CB622E">
        <w:trPr>
          <w:cantSplit/>
          <w:jc w:val="center"/>
        </w:trPr>
        <w:tc>
          <w:tcPr>
            <w:tcW w:w="2542" w:type="dxa"/>
          </w:tcPr>
          <w:p w14:paraId="0C597A91" w14:textId="77777777" w:rsidR="009D30D2" w:rsidRPr="009D30D2" w:rsidRDefault="009D30D2" w:rsidP="009D30D2">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Niacin</w:t>
            </w:r>
          </w:p>
        </w:tc>
        <w:tc>
          <w:tcPr>
            <w:tcW w:w="4262" w:type="dxa"/>
          </w:tcPr>
          <w:p w14:paraId="5FBFC2FF" w14:textId="77777777" w:rsidR="009D30D2" w:rsidRPr="009D30D2" w:rsidRDefault="009D30D2" w:rsidP="009D30D2">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Nicotinamide riboside chloride</w:t>
            </w:r>
          </w:p>
          <w:p w14:paraId="5AA8A4ED" w14:textId="77777777" w:rsidR="009D30D2" w:rsidRPr="009D30D2" w:rsidRDefault="009D30D2" w:rsidP="009D30D2">
            <w:pPr>
              <w:keepLines/>
              <w:widowControl/>
              <w:tabs>
                <w:tab w:val="right" w:pos="3969"/>
              </w:tabs>
              <w:spacing w:before="60" w:after="60"/>
              <w:rPr>
                <w:rFonts w:cs="Arial"/>
                <w:sz w:val="18"/>
                <w:szCs w:val="20"/>
                <w:lang w:eastAsia="en-AU" w:bidi="ar-SA"/>
              </w:rPr>
            </w:pPr>
            <w:r w:rsidRPr="009D30D2">
              <w:rPr>
                <w:rFonts w:cs="Arial"/>
                <w:sz w:val="18"/>
                <w:szCs w:val="20"/>
                <w:lang w:eastAsia="en-AU" w:bidi="ar-SA"/>
              </w:rPr>
              <w:t>Nicotinic acid</w:t>
            </w:r>
          </w:p>
        </w:tc>
      </w:tr>
    </w:tbl>
    <w:p w14:paraId="714DBE08" w14:textId="73602C5D" w:rsidR="00795CCB" w:rsidRDefault="00795CCB" w:rsidP="00795CCB">
      <w:pPr>
        <w:rPr>
          <w:lang w:bidi="ar-SA"/>
        </w:rPr>
      </w:pPr>
    </w:p>
    <w:p w14:paraId="4B92EC81" w14:textId="77777777" w:rsidR="00795CCB" w:rsidRPr="00795CCB" w:rsidRDefault="00795CCB" w:rsidP="00795CCB">
      <w:pPr>
        <w:rPr>
          <w:lang w:bidi="ar-SA"/>
        </w:rPr>
      </w:pPr>
    </w:p>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39" w:name="_Toc65840497"/>
      <w:bookmarkStart w:id="140" w:name="_Toc68868661"/>
      <w:r w:rsidRPr="00932F14">
        <w:lastRenderedPageBreak/>
        <w:t xml:space="preserve">Attachment </w:t>
      </w:r>
      <w:r>
        <w:t xml:space="preserve">B – </w:t>
      </w:r>
      <w:r w:rsidR="00AB0275">
        <w:t>Draft Explanatory Statement</w:t>
      </w:r>
      <w:bookmarkEnd w:id="139"/>
      <w:bookmarkEnd w:id="140"/>
    </w:p>
    <w:p w14:paraId="013024A2" w14:textId="77777777" w:rsidR="00AB0275" w:rsidRPr="000576EB" w:rsidRDefault="00AB0275" w:rsidP="00442E6A">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442E6A">
      <w:pPr>
        <w:rPr>
          <w:lang w:val="en-AU" w:eastAsia="en-GB" w:bidi="ar-SA"/>
        </w:rPr>
      </w:pPr>
    </w:p>
    <w:p w14:paraId="4B1B51A5" w14:textId="77777777" w:rsidR="00AB0275" w:rsidRPr="00D13E34" w:rsidRDefault="00AB0275" w:rsidP="00442E6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442E6A">
      <w:pPr>
        <w:widowControl/>
        <w:autoSpaceDE w:val="0"/>
        <w:autoSpaceDN w:val="0"/>
        <w:adjustRightInd w:val="0"/>
        <w:rPr>
          <w:rFonts w:eastAsia="Calibri" w:cs="Arial"/>
          <w:bCs/>
          <w:szCs w:val="22"/>
          <w:lang w:val="en-AU" w:bidi="ar-SA"/>
        </w:rPr>
      </w:pPr>
    </w:p>
    <w:p w14:paraId="1D20C306" w14:textId="77777777" w:rsidR="00AB0275" w:rsidRPr="00EE397E" w:rsidRDefault="00AB0275" w:rsidP="00442E6A">
      <w:pPr>
        <w:widowControl/>
        <w:autoSpaceDE w:val="0"/>
        <w:autoSpaceDN w:val="0"/>
        <w:adjustRightInd w:val="0"/>
        <w:rPr>
          <w:rFonts w:eastAsia="Calibri" w:cs="Arial"/>
          <w:bCs/>
          <w:szCs w:val="22"/>
          <w:lang w:val="en-AU" w:bidi="ar-SA"/>
        </w:rPr>
      </w:pPr>
      <w:r w:rsidRPr="00EE397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D7794D" w:rsidRDefault="00AB0275" w:rsidP="00442E6A">
      <w:pPr>
        <w:widowControl/>
        <w:autoSpaceDE w:val="0"/>
        <w:autoSpaceDN w:val="0"/>
        <w:adjustRightInd w:val="0"/>
        <w:rPr>
          <w:rFonts w:eastAsia="Calibri" w:cs="Arial"/>
          <w:bCs/>
          <w:szCs w:val="22"/>
          <w:lang w:val="en-AU" w:bidi="ar-SA"/>
        </w:rPr>
      </w:pPr>
    </w:p>
    <w:p w14:paraId="4CF7016E" w14:textId="7D479C71" w:rsidR="00EE397E" w:rsidRPr="00D7794D" w:rsidRDefault="000B2A86" w:rsidP="00442E6A">
      <w:pPr>
        <w:widowControl/>
        <w:autoSpaceDE w:val="0"/>
        <w:autoSpaceDN w:val="0"/>
        <w:adjustRightInd w:val="0"/>
        <w:rPr>
          <w:rFonts w:eastAsia="Calibri" w:cs="Arial"/>
          <w:bCs/>
          <w:szCs w:val="22"/>
          <w:lang w:val="en-AU" w:bidi="ar-SA"/>
        </w:rPr>
      </w:pPr>
      <w:r w:rsidRPr="00D7794D">
        <w:rPr>
          <w:rFonts w:eastAsia="Calibri" w:cs="Arial"/>
          <w:bCs/>
          <w:szCs w:val="22"/>
          <w:lang w:val="en-AU" w:bidi="ar-SA"/>
        </w:rPr>
        <w:t>The Authority</w:t>
      </w:r>
      <w:r w:rsidR="00AB0275" w:rsidRPr="00D7794D">
        <w:rPr>
          <w:rFonts w:eastAsia="Calibri" w:cs="Arial"/>
          <w:bCs/>
          <w:szCs w:val="22"/>
          <w:lang w:val="en-AU" w:bidi="ar-SA"/>
        </w:rPr>
        <w:t xml:space="preserve"> accepted Application A</w:t>
      </w:r>
      <w:r w:rsidR="00EE397E" w:rsidRPr="00D7794D">
        <w:rPr>
          <w:rFonts w:eastAsia="Calibri" w:cs="Arial"/>
          <w:bCs/>
          <w:szCs w:val="22"/>
          <w:lang w:val="en-AU" w:bidi="ar-SA"/>
        </w:rPr>
        <w:t>1214</w:t>
      </w:r>
      <w:r w:rsidR="00AB0275" w:rsidRPr="00D7794D">
        <w:rPr>
          <w:rFonts w:eastAsia="Calibri" w:cs="Arial"/>
          <w:bCs/>
          <w:szCs w:val="22"/>
          <w:lang w:val="en-AU" w:bidi="ar-SA"/>
        </w:rPr>
        <w:t xml:space="preserve"> which seeks to </w:t>
      </w:r>
      <w:r w:rsidR="00EE397E" w:rsidRPr="00D7794D">
        <w:rPr>
          <w:rFonts w:eastAsia="Calibri" w:cs="Arial"/>
          <w:bCs/>
          <w:szCs w:val="22"/>
          <w:lang w:val="en-AU" w:bidi="ar-SA"/>
        </w:rPr>
        <w:t xml:space="preserve">permit the use of nicotinamide riboside chloride as a form of </w:t>
      </w:r>
      <w:r w:rsidR="00CB622E" w:rsidRPr="00D7794D">
        <w:rPr>
          <w:rFonts w:eastAsia="Calibri" w:cs="Arial"/>
          <w:bCs/>
          <w:szCs w:val="22"/>
          <w:lang w:val="en-AU" w:bidi="ar-SA"/>
        </w:rPr>
        <w:t>niacin</w:t>
      </w:r>
      <w:r w:rsidR="00486096" w:rsidRPr="00D7794D">
        <w:rPr>
          <w:rFonts w:eastAsia="Calibri" w:cs="Arial"/>
          <w:bCs/>
          <w:szCs w:val="22"/>
          <w:lang w:val="en-AU" w:bidi="ar-SA"/>
        </w:rPr>
        <w:t xml:space="preserve"> </w:t>
      </w:r>
      <w:r w:rsidR="00CB622E" w:rsidRPr="00D7794D">
        <w:rPr>
          <w:rFonts w:eastAsia="Calibri" w:cs="Arial"/>
          <w:bCs/>
          <w:szCs w:val="22"/>
          <w:lang w:val="en-AU" w:bidi="ar-SA"/>
        </w:rPr>
        <w:t>in food for special medical purposes (F</w:t>
      </w:r>
      <w:r w:rsidR="00EE397E" w:rsidRPr="00D7794D">
        <w:rPr>
          <w:rFonts w:eastAsia="Calibri" w:cs="Arial"/>
          <w:bCs/>
          <w:szCs w:val="22"/>
          <w:lang w:val="en-AU" w:bidi="ar-SA"/>
        </w:rPr>
        <w:t>SMPs</w:t>
      </w:r>
      <w:r w:rsidR="00CB622E" w:rsidRPr="00D7794D">
        <w:rPr>
          <w:rFonts w:eastAsia="Calibri" w:cs="Arial"/>
          <w:bCs/>
          <w:szCs w:val="22"/>
          <w:lang w:val="en-AU" w:bidi="ar-SA"/>
        </w:rPr>
        <w:t>)</w:t>
      </w:r>
      <w:r w:rsidR="00EE397E" w:rsidRPr="00D7794D">
        <w:rPr>
          <w:rFonts w:eastAsia="Calibri" w:cs="Arial"/>
          <w:bCs/>
          <w:szCs w:val="22"/>
          <w:lang w:val="en-AU" w:bidi="ar-SA"/>
        </w:rPr>
        <w:t>.</w:t>
      </w:r>
      <w:r w:rsidR="00FC09B0" w:rsidRPr="00D7794D">
        <w:rPr>
          <w:rFonts w:eastAsia="Calibri" w:cs="Arial"/>
          <w:bCs/>
          <w:szCs w:val="22"/>
          <w:lang w:val="en-AU" w:bidi="ar-SA"/>
        </w:rPr>
        <w:t xml:space="preserve"> The Authority considered the a</w:t>
      </w:r>
      <w:r w:rsidR="00AB0275" w:rsidRPr="00D7794D">
        <w:rPr>
          <w:rFonts w:eastAsia="Calibri" w:cs="Arial"/>
          <w:bCs/>
          <w:szCs w:val="22"/>
          <w:lang w:val="en-AU" w:bidi="ar-SA"/>
        </w:rPr>
        <w:t xml:space="preserve">pplication in accordance with Division 1 of Part 3 and has </w:t>
      </w:r>
      <w:r w:rsidR="00CA3C65" w:rsidRPr="00D7794D">
        <w:rPr>
          <w:rFonts w:eastAsia="Calibri" w:cs="Arial"/>
          <w:bCs/>
          <w:szCs w:val="22"/>
          <w:lang w:val="en-AU" w:bidi="ar-SA"/>
        </w:rPr>
        <w:t>prepared</w:t>
      </w:r>
      <w:r w:rsidR="00AB0275" w:rsidRPr="00D7794D">
        <w:rPr>
          <w:rFonts w:eastAsia="Calibri" w:cs="Arial"/>
          <w:bCs/>
          <w:szCs w:val="22"/>
          <w:lang w:val="en-AU" w:bidi="ar-SA"/>
        </w:rPr>
        <w:t xml:space="preserve"> a draft </w:t>
      </w:r>
      <w:r w:rsidR="00EE397E" w:rsidRPr="00D7794D">
        <w:rPr>
          <w:rFonts w:eastAsia="Calibri" w:cs="Arial"/>
          <w:bCs/>
          <w:szCs w:val="22"/>
          <w:lang w:val="en-AU" w:bidi="ar-SA"/>
        </w:rPr>
        <w:t>variation.</w:t>
      </w:r>
      <w:r w:rsidR="00AB0275" w:rsidRPr="00D7794D">
        <w:rPr>
          <w:rFonts w:eastAsia="Calibri" w:cs="Arial"/>
          <w:bCs/>
          <w:szCs w:val="22"/>
          <w:lang w:val="en-AU" w:bidi="ar-SA"/>
        </w:rPr>
        <w:t xml:space="preserve"> </w:t>
      </w:r>
    </w:p>
    <w:p w14:paraId="037ECBBE" w14:textId="77777777" w:rsidR="00AB0275" w:rsidRPr="00D13E34" w:rsidRDefault="00AB0275" w:rsidP="00442E6A">
      <w:pPr>
        <w:widowControl/>
        <w:autoSpaceDE w:val="0"/>
        <w:autoSpaceDN w:val="0"/>
        <w:adjustRightInd w:val="0"/>
        <w:rPr>
          <w:rFonts w:eastAsia="Calibri" w:cs="Arial"/>
          <w:bCs/>
          <w:szCs w:val="22"/>
          <w:lang w:val="en-AU" w:bidi="ar-SA"/>
        </w:rPr>
      </w:pPr>
    </w:p>
    <w:p w14:paraId="325AE9C7" w14:textId="77777777" w:rsidR="00AB0275" w:rsidRDefault="00AB0275" w:rsidP="00442E6A">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442E6A">
      <w:pPr>
        <w:rPr>
          <w:lang w:val="en-AU" w:eastAsia="en-GB" w:bidi="ar-SA"/>
        </w:rPr>
      </w:pPr>
    </w:p>
    <w:p w14:paraId="19CD48BF" w14:textId="45505215" w:rsidR="00486096" w:rsidRDefault="00AB0275" w:rsidP="00442E6A">
      <w:pPr>
        <w:rPr>
          <w:rFonts w:eastAsia="Calibri" w:cs="Arial"/>
          <w:bCs/>
          <w:szCs w:val="22"/>
          <w:lang w:val="en-AU" w:bidi="ar-SA"/>
        </w:rPr>
      </w:pPr>
      <w:r>
        <w:rPr>
          <w:lang w:val="en-AU" w:eastAsia="en-GB" w:bidi="ar-SA"/>
        </w:rPr>
        <w:t xml:space="preserve">The Authority has </w:t>
      </w:r>
      <w:r w:rsidR="00CA3C65" w:rsidRPr="00CB622E">
        <w:rPr>
          <w:lang w:val="en-AU" w:eastAsia="en-GB" w:bidi="ar-SA"/>
        </w:rPr>
        <w:t>prepar</w:t>
      </w:r>
      <w:r w:rsidRPr="00CB622E">
        <w:rPr>
          <w:lang w:val="en-AU" w:eastAsia="en-GB" w:bidi="ar-SA"/>
        </w:rPr>
        <w:t>ed</w:t>
      </w:r>
      <w:r w:rsidR="00CB622E" w:rsidRPr="00CB622E">
        <w:rPr>
          <w:lang w:val="en-AU" w:eastAsia="en-GB" w:bidi="ar-SA"/>
        </w:rPr>
        <w:t xml:space="preserve"> a draft variation </w:t>
      </w:r>
      <w:r w:rsidR="00486096">
        <w:rPr>
          <w:lang w:val="en-AU" w:eastAsia="en-GB" w:bidi="ar-SA"/>
        </w:rPr>
        <w:t xml:space="preserve">to the Code </w:t>
      </w:r>
      <w:r w:rsidR="009E0DFD">
        <w:rPr>
          <w:lang w:val="en-AU" w:eastAsia="en-GB" w:bidi="ar-SA"/>
        </w:rPr>
        <w:t>amending the table to sect</w:t>
      </w:r>
      <w:r w:rsidR="00903716">
        <w:rPr>
          <w:lang w:val="en-AU" w:eastAsia="en-GB" w:bidi="ar-SA"/>
        </w:rPr>
        <w:t>ion</w:t>
      </w:r>
      <w:r w:rsidR="009E0DFD">
        <w:rPr>
          <w:lang w:val="en-AU" w:eastAsia="en-GB" w:bidi="ar-SA"/>
        </w:rPr>
        <w:t xml:space="preserve"> S29—20 </w:t>
      </w:r>
      <w:r w:rsidR="00DD1E46">
        <w:rPr>
          <w:lang w:val="en-AU" w:eastAsia="en-GB" w:bidi="ar-SA"/>
        </w:rPr>
        <w:t xml:space="preserve">to </w:t>
      </w:r>
      <w:r w:rsidR="009E0DFD">
        <w:rPr>
          <w:lang w:val="en-AU" w:eastAsia="en-GB" w:bidi="ar-SA"/>
        </w:rPr>
        <w:t>includ</w:t>
      </w:r>
      <w:r w:rsidR="00DD1E46">
        <w:rPr>
          <w:lang w:val="en-AU" w:eastAsia="en-GB" w:bidi="ar-SA"/>
        </w:rPr>
        <w:t>e</w:t>
      </w:r>
      <w:r w:rsidR="00CB622E">
        <w:rPr>
          <w:lang w:val="en-AU" w:eastAsia="en-GB" w:bidi="ar-SA"/>
        </w:rPr>
        <w:t xml:space="preserve"> </w:t>
      </w:r>
      <w:r w:rsidR="009E0DFD">
        <w:rPr>
          <w:lang w:val="en-AU" w:eastAsia="en-GB" w:bidi="ar-SA"/>
        </w:rPr>
        <w:t>‘</w:t>
      </w:r>
      <w:r w:rsidR="00CB622E" w:rsidRPr="00EE397E">
        <w:rPr>
          <w:rFonts w:eastAsia="Calibri" w:cs="Arial"/>
          <w:bCs/>
          <w:szCs w:val="22"/>
          <w:lang w:val="en-AU" w:bidi="ar-SA"/>
        </w:rPr>
        <w:t>nicotinamide riboside chloride</w:t>
      </w:r>
      <w:r w:rsidR="009E0DFD">
        <w:rPr>
          <w:rFonts w:eastAsia="Calibri" w:cs="Arial"/>
          <w:bCs/>
          <w:szCs w:val="22"/>
          <w:lang w:val="en-AU" w:bidi="ar-SA"/>
        </w:rPr>
        <w:t>’</w:t>
      </w:r>
      <w:r w:rsidR="00CB622E">
        <w:rPr>
          <w:rFonts w:eastAsia="Calibri" w:cs="Arial"/>
          <w:bCs/>
          <w:szCs w:val="22"/>
          <w:lang w:val="en-AU" w:bidi="ar-SA"/>
        </w:rPr>
        <w:t xml:space="preserve"> </w:t>
      </w:r>
      <w:r w:rsidR="00FB1547" w:rsidRPr="00FB1547">
        <w:rPr>
          <w:rFonts w:eastAsia="Calibri" w:cs="Arial"/>
          <w:bCs/>
          <w:szCs w:val="22"/>
          <w:lang w:val="en-AU" w:bidi="ar-SA"/>
        </w:rPr>
        <w:t xml:space="preserve">in the list of permitted forms of niacin </w:t>
      </w:r>
      <w:r w:rsidR="009E0DFD">
        <w:rPr>
          <w:rFonts w:eastAsia="Calibri" w:cs="Arial"/>
          <w:bCs/>
          <w:szCs w:val="22"/>
          <w:lang w:val="en-AU" w:bidi="ar-SA"/>
        </w:rPr>
        <w:t xml:space="preserve">that may be added to </w:t>
      </w:r>
      <w:r w:rsidR="00CB622E">
        <w:rPr>
          <w:rFonts w:eastAsia="Calibri" w:cs="Arial"/>
          <w:bCs/>
          <w:szCs w:val="22"/>
          <w:lang w:val="en-AU" w:bidi="ar-SA"/>
        </w:rPr>
        <w:t>FSMPs</w:t>
      </w:r>
      <w:r w:rsidR="009E0DFD">
        <w:rPr>
          <w:rFonts w:eastAsia="Calibri" w:cs="Arial"/>
          <w:bCs/>
          <w:szCs w:val="22"/>
          <w:lang w:val="en-AU" w:bidi="ar-SA"/>
        </w:rPr>
        <w:t xml:space="preserve">. The draft variation also </w:t>
      </w:r>
      <w:r w:rsidR="00DD1E46">
        <w:rPr>
          <w:rFonts w:eastAsia="Calibri" w:cs="Arial"/>
          <w:bCs/>
          <w:szCs w:val="22"/>
          <w:lang w:val="en-AU" w:bidi="ar-SA"/>
        </w:rPr>
        <w:t xml:space="preserve">amends Schedule 3 to </w:t>
      </w:r>
      <w:r w:rsidR="009E0DFD">
        <w:rPr>
          <w:rFonts w:eastAsia="Calibri" w:cs="Arial"/>
          <w:bCs/>
          <w:szCs w:val="22"/>
          <w:lang w:val="en-AU" w:bidi="ar-SA"/>
        </w:rPr>
        <w:t xml:space="preserve">include a specification for </w:t>
      </w:r>
      <w:r w:rsidR="009E0DFD" w:rsidRPr="00EE397E">
        <w:rPr>
          <w:rFonts w:eastAsia="Calibri" w:cs="Arial"/>
          <w:bCs/>
          <w:szCs w:val="22"/>
          <w:lang w:val="en-AU" w:bidi="ar-SA"/>
        </w:rPr>
        <w:t>nicotinamide riboside chloride</w:t>
      </w:r>
      <w:r w:rsidR="009E0DFD">
        <w:rPr>
          <w:rFonts w:eastAsia="Calibri" w:cs="Arial"/>
          <w:bCs/>
          <w:szCs w:val="22"/>
          <w:lang w:val="en-AU" w:bidi="ar-SA"/>
        </w:rPr>
        <w:t xml:space="preserve"> in </w:t>
      </w:r>
      <w:r w:rsidR="00DD1E46">
        <w:rPr>
          <w:rFonts w:eastAsia="Calibri" w:cs="Arial"/>
          <w:bCs/>
          <w:szCs w:val="22"/>
          <w:lang w:val="en-AU" w:bidi="ar-SA"/>
        </w:rPr>
        <w:t xml:space="preserve">that </w:t>
      </w:r>
      <w:r w:rsidR="009E0DFD">
        <w:rPr>
          <w:rFonts w:eastAsia="Calibri" w:cs="Arial"/>
          <w:bCs/>
          <w:szCs w:val="22"/>
          <w:lang w:val="en-AU" w:bidi="ar-SA"/>
        </w:rPr>
        <w:t>Schedule</w:t>
      </w:r>
      <w:r w:rsidR="00CB622E">
        <w:rPr>
          <w:rFonts w:eastAsia="Calibri" w:cs="Arial"/>
          <w:bCs/>
          <w:szCs w:val="22"/>
          <w:lang w:val="en-AU" w:bidi="ar-SA"/>
        </w:rPr>
        <w:t>.</w:t>
      </w:r>
    </w:p>
    <w:p w14:paraId="0CF92EA7" w14:textId="66BBC4B6" w:rsidR="004A2E7C" w:rsidRDefault="004A2E7C" w:rsidP="00442E6A">
      <w:pPr>
        <w:rPr>
          <w:lang w:val="en-AU" w:eastAsia="en-GB" w:bidi="ar-SA"/>
        </w:rPr>
      </w:pPr>
    </w:p>
    <w:p w14:paraId="4C7654DB" w14:textId="38F424E8" w:rsidR="004A2E7C" w:rsidRPr="00CB622E" w:rsidRDefault="004A2E7C" w:rsidP="00442E6A">
      <w:pPr>
        <w:rPr>
          <w:lang w:val="en-AU" w:eastAsia="en-GB" w:bidi="ar-SA"/>
        </w:rPr>
      </w:pPr>
      <w:r>
        <w:rPr>
          <w:lang w:val="en-AU" w:eastAsia="en-GB" w:bidi="ar-SA"/>
        </w:rPr>
        <w:t xml:space="preserve">The amendments in the draft variation would </w:t>
      </w:r>
      <w:r w:rsidRPr="00D7794D">
        <w:rPr>
          <w:rFonts w:eastAsia="Calibri" w:cs="Arial"/>
          <w:bCs/>
          <w:szCs w:val="22"/>
          <w:lang w:val="en-AU" w:bidi="ar-SA"/>
        </w:rPr>
        <w:t>permit the use of nicotinamide riboside chloride as a form of niacin in</w:t>
      </w:r>
      <w:r>
        <w:rPr>
          <w:rFonts w:eastAsia="Calibri" w:cs="Arial"/>
          <w:bCs/>
          <w:szCs w:val="22"/>
          <w:lang w:val="en-AU" w:bidi="ar-SA"/>
        </w:rPr>
        <w:t xml:space="preserve"> FSMPs in accordance with </w:t>
      </w:r>
      <w:r w:rsidR="00B71A86">
        <w:rPr>
          <w:rFonts w:eastAsia="Calibri" w:cs="Arial"/>
          <w:bCs/>
          <w:szCs w:val="22"/>
          <w:lang w:val="en-AU" w:bidi="ar-SA"/>
        </w:rPr>
        <w:t>the Code</w:t>
      </w:r>
      <w:r>
        <w:rPr>
          <w:rFonts w:eastAsia="Calibri" w:cs="Arial"/>
          <w:bCs/>
          <w:szCs w:val="22"/>
          <w:lang w:val="en-AU" w:bidi="ar-SA"/>
        </w:rPr>
        <w:t>.</w:t>
      </w:r>
    </w:p>
    <w:p w14:paraId="2894A070" w14:textId="77777777" w:rsidR="00AB0275" w:rsidRDefault="00AB0275" w:rsidP="00442E6A">
      <w:pPr>
        <w:rPr>
          <w:lang w:val="en-AU" w:eastAsia="en-GB" w:bidi="ar-SA"/>
        </w:rPr>
      </w:pPr>
    </w:p>
    <w:p w14:paraId="68DBB8B5" w14:textId="77777777" w:rsidR="00AB0275" w:rsidRPr="000576EB" w:rsidRDefault="00AB0275" w:rsidP="00442E6A">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442E6A">
      <w:pPr>
        <w:rPr>
          <w:lang w:val="en-AU" w:eastAsia="en-GB" w:bidi="ar-SA"/>
        </w:rPr>
      </w:pPr>
    </w:p>
    <w:p w14:paraId="40AEC431" w14:textId="39C4CABF" w:rsidR="00AB0275" w:rsidRDefault="00AB0275" w:rsidP="00442E6A">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4DA2CE43" w14:textId="04B62A14" w:rsidR="00CB622E" w:rsidRDefault="00CB622E" w:rsidP="00442E6A">
      <w:pPr>
        <w:widowControl/>
        <w:autoSpaceDE w:val="0"/>
        <w:autoSpaceDN w:val="0"/>
        <w:adjustRightInd w:val="0"/>
        <w:rPr>
          <w:rFonts w:eastAsia="Calibri" w:cs="Arial"/>
          <w:bCs/>
          <w:szCs w:val="22"/>
          <w:lang w:val="en-AU" w:bidi="ar-SA"/>
        </w:rPr>
      </w:pPr>
    </w:p>
    <w:p w14:paraId="7F143A92" w14:textId="77777777" w:rsidR="00AB0275" w:rsidRPr="000576EB" w:rsidRDefault="00AB0275" w:rsidP="00442E6A">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442E6A">
      <w:pPr>
        <w:rPr>
          <w:lang w:val="en-AU" w:eastAsia="en-GB" w:bidi="ar-SA"/>
        </w:rPr>
      </w:pPr>
    </w:p>
    <w:p w14:paraId="60795ED2" w14:textId="30C53239" w:rsidR="007054A9" w:rsidRDefault="007054A9" w:rsidP="00442E6A">
      <w:r w:rsidRPr="00F634A1">
        <w:t xml:space="preserve">In accordance with the procedure in Division </w:t>
      </w:r>
      <w:r>
        <w:t xml:space="preserve">1 </w:t>
      </w:r>
      <w:r w:rsidRPr="00F634A1">
        <w:t xml:space="preserve">of Part </w:t>
      </w:r>
      <w:r>
        <w:t>3</w:t>
      </w:r>
      <w:r w:rsidRPr="00D06616">
        <w:t xml:space="preserve"> </w:t>
      </w:r>
      <w:r w:rsidRPr="00F634A1">
        <w:t xml:space="preserve">of the FSANZ Act, </w:t>
      </w:r>
      <w:r w:rsidRPr="00F634A1">
        <w:rPr>
          <w:rFonts w:eastAsia="Calibri" w:cs="Arial"/>
          <w:bCs/>
          <w:lang w:val="en-AU" w:bidi="ar-SA"/>
        </w:rPr>
        <w:t>the Authority</w:t>
      </w:r>
      <w:r w:rsidRPr="00F634A1">
        <w:t xml:space="preserve">’s consideration of </w:t>
      </w:r>
      <w:r>
        <w:t>Application</w:t>
      </w:r>
      <w:r w:rsidRPr="00D06616">
        <w:t xml:space="preserve"> </w:t>
      </w:r>
      <w:r>
        <w:t>A1214 will include</w:t>
      </w:r>
      <w:r w:rsidRPr="00F634A1">
        <w:t xml:space="preserve"> </w:t>
      </w:r>
      <w:r w:rsidRPr="00D06616">
        <w:t>one round of public consultation</w:t>
      </w:r>
      <w:r>
        <w:t xml:space="preserve"> following an assessment and the preparation of a draft Standard and associated assessment summary.</w:t>
      </w:r>
    </w:p>
    <w:p w14:paraId="18249225" w14:textId="72670A11" w:rsidR="00903716" w:rsidRDefault="00903716" w:rsidP="00442E6A"/>
    <w:p w14:paraId="75FA1127" w14:textId="403D36D3" w:rsidR="00903716" w:rsidRDefault="00903716" w:rsidP="00442E6A">
      <w:r w:rsidRPr="00903716">
        <w:t>The Office of Best Practice Regulation (OBPR) granted FSANZ a standing exemption from the requirement to develop a Regulatory Impact Statement for the voluntary addition of a nutritive substance to food (OBPR correspondence dated 16 April 2013, reference 14943). This standing exemption was provided as permitting an additional nutritive substance to food is deregulatory as their use will be voluntary if the application is approved. This standing exemption relates to the introduction of a food to the food supply that has been determined to be safe.</w:t>
      </w:r>
    </w:p>
    <w:p w14:paraId="09686C36" w14:textId="77777777" w:rsidR="00AB0275" w:rsidRDefault="00AB0275" w:rsidP="00442E6A">
      <w:pPr>
        <w:widowControl/>
        <w:rPr>
          <w:rFonts w:eastAsiaTheme="minorHAnsi" w:cs="Arial"/>
          <w:b/>
          <w:bCs/>
          <w:szCs w:val="22"/>
          <w:lang w:val="en-AU" w:bidi="ar-SA"/>
        </w:rPr>
      </w:pPr>
    </w:p>
    <w:p w14:paraId="060C03CD" w14:textId="77777777" w:rsidR="00AB0275" w:rsidRDefault="00AB0275" w:rsidP="00442E6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442E6A">
      <w:pPr>
        <w:rPr>
          <w:rFonts w:eastAsiaTheme="minorHAnsi"/>
          <w:lang w:val="en-AU" w:bidi="ar-SA"/>
        </w:rPr>
      </w:pPr>
    </w:p>
    <w:p w14:paraId="4550A387" w14:textId="4AF814FE" w:rsidR="00AB0275" w:rsidRDefault="00AB0275" w:rsidP="00442E6A">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94 of the </w:t>
      </w:r>
      <w:r>
        <w:rPr>
          <w:rFonts w:eastAsiaTheme="minorHAnsi"/>
          <w:lang w:val="en-AU" w:bidi="ar-SA"/>
        </w:rPr>
        <w:lastRenderedPageBreak/>
        <w:t>FSANZ Act.</w:t>
      </w:r>
    </w:p>
    <w:p w14:paraId="2A4A395A" w14:textId="74149FE4" w:rsidR="007054A9" w:rsidRDefault="007054A9" w:rsidP="00442E6A">
      <w:pPr>
        <w:rPr>
          <w:rFonts w:eastAsiaTheme="minorHAnsi"/>
          <w:lang w:val="en-AU" w:bidi="ar-SA"/>
        </w:rPr>
      </w:pPr>
    </w:p>
    <w:p w14:paraId="725BBD0E" w14:textId="77777777" w:rsidR="00AB0275" w:rsidRPr="00700239" w:rsidRDefault="00AB0275" w:rsidP="00442E6A">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442E6A">
      <w:pPr>
        <w:rPr>
          <w:b/>
        </w:rPr>
      </w:pPr>
    </w:p>
    <w:p w14:paraId="0528AA08" w14:textId="77777777" w:rsidR="00FA12F4" w:rsidRDefault="005F7329" w:rsidP="00442E6A">
      <w:r w:rsidRPr="004B74BF">
        <w:rPr>
          <w:b/>
        </w:rPr>
        <w:t>Item [1]</w:t>
      </w:r>
      <w:r w:rsidRPr="005F7329">
        <w:t xml:space="preserve"> amends Schedule 3. </w:t>
      </w:r>
    </w:p>
    <w:p w14:paraId="51D3FD30" w14:textId="77777777" w:rsidR="00FA12F4" w:rsidRDefault="00FA12F4" w:rsidP="00442E6A"/>
    <w:p w14:paraId="41FA25E7" w14:textId="3569BCCE" w:rsidR="00FA12F4" w:rsidRDefault="005F7329" w:rsidP="00442E6A">
      <w:r w:rsidRPr="005F7329">
        <w:t xml:space="preserve">Sub item [1.1] inserts a reference to </w:t>
      </w:r>
      <w:r w:rsidR="00FA12F4">
        <w:t>‘</w:t>
      </w:r>
      <w:r w:rsidRPr="005F7329">
        <w:t>nicotinamide riboside chloride</w:t>
      </w:r>
      <w:r w:rsidR="00FA12F4">
        <w:t>’</w:t>
      </w:r>
      <w:r w:rsidRPr="005F7329">
        <w:t xml:space="preserve"> </w:t>
      </w:r>
      <w:r w:rsidR="00FA12F4">
        <w:t xml:space="preserve">and its relevant provision </w:t>
      </w:r>
      <w:r w:rsidRPr="005F7329">
        <w:t xml:space="preserve">into the table to S3—2(2), </w:t>
      </w:r>
      <w:r w:rsidR="00FA12F4">
        <w:t>in alphabetical order</w:t>
      </w:r>
      <w:r w:rsidRPr="005F7329">
        <w:t xml:space="preserve">. </w:t>
      </w:r>
      <w:r w:rsidR="009E0DFD">
        <w:t xml:space="preserve">The </w:t>
      </w:r>
      <w:r w:rsidR="009E0DFD" w:rsidRPr="005F7329">
        <w:t>table to S3—2(2)</w:t>
      </w:r>
      <w:r w:rsidR="009E0DFD">
        <w:t xml:space="preserve"> lists certain substances and the</w:t>
      </w:r>
      <w:r w:rsidR="00F818A2">
        <w:t>ir</w:t>
      </w:r>
      <w:r w:rsidR="009E0DFD">
        <w:t xml:space="preserve"> </w:t>
      </w:r>
      <w:r w:rsidR="000C6796">
        <w:t xml:space="preserve">‘relevant </w:t>
      </w:r>
      <w:r w:rsidR="009E0DFD">
        <w:t>provisions</w:t>
      </w:r>
      <w:r w:rsidR="000C6796">
        <w:t>’ i.e. provisions</w:t>
      </w:r>
      <w:r w:rsidR="009E0DFD">
        <w:t xml:space="preserve"> </w:t>
      </w:r>
      <w:r w:rsidR="000C6796">
        <w:t xml:space="preserve">indicating </w:t>
      </w:r>
      <w:r w:rsidR="009E0DFD">
        <w:t>where specifications for the listed substances are located</w:t>
      </w:r>
      <w:r w:rsidR="000C6796">
        <w:t xml:space="preserve"> in Schedule 3</w:t>
      </w:r>
      <w:r w:rsidR="009E0DFD">
        <w:t>.</w:t>
      </w:r>
    </w:p>
    <w:p w14:paraId="7DA27A6E" w14:textId="77777777" w:rsidR="00FA12F4" w:rsidRDefault="00FA12F4" w:rsidP="00442E6A"/>
    <w:p w14:paraId="505A93BA" w14:textId="6260470E" w:rsidR="005F7329" w:rsidRPr="00D7794D" w:rsidRDefault="005F7329" w:rsidP="00442E6A">
      <w:r w:rsidRPr="005F7329">
        <w:t xml:space="preserve">Sub item [1.2] inserts </w:t>
      </w:r>
      <w:r w:rsidR="00FA12F4">
        <w:t xml:space="preserve">new </w:t>
      </w:r>
      <w:r w:rsidR="00FA12F4" w:rsidRPr="00D7794D">
        <w:t>section S3—4</w:t>
      </w:r>
      <w:r w:rsidR="00F9619B">
        <w:t>4</w:t>
      </w:r>
      <w:r w:rsidR="00FA12F4">
        <w:t xml:space="preserve"> into Schedule 3</w:t>
      </w:r>
      <w:r w:rsidR="009E0DFD">
        <w:t>,</w:t>
      </w:r>
      <w:r w:rsidR="00FA12F4">
        <w:t xml:space="preserve"> which contain</w:t>
      </w:r>
      <w:r w:rsidR="00896A00">
        <w:t>s</w:t>
      </w:r>
      <w:r w:rsidR="00FA12F4">
        <w:t xml:space="preserve"> the</w:t>
      </w:r>
      <w:r w:rsidRPr="005F7329">
        <w:t xml:space="preserve"> </w:t>
      </w:r>
      <w:r w:rsidR="00FA12F4">
        <w:t xml:space="preserve">new </w:t>
      </w:r>
      <w:r w:rsidRPr="005F7329">
        <w:t xml:space="preserve">specification for </w:t>
      </w:r>
      <w:r w:rsidR="00FA12F4">
        <w:t>‘</w:t>
      </w:r>
      <w:r w:rsidRPr="00D7794D">
        <w:t>nicotinamide riboside chloride</w:t>
      </w:r>
      <w:r w:rsidR="00FA12F4">
        <w:t>’</w:t>
      </w:r>
      <w:r w:rsidRPr="00D7794D">
        <w:t>.</w:t>
      </w:r>
      <w:r w:rsidR="001A157E" w:rsidRPr="00D7794D">
        <w:t xml:space="preserve"> </w:t>
      </w:r>
    </w:p>
    <w:p w14:paraId="70FC5E25" w14:textId="08CE9B46" w:rsidR="007C174F" w:rsidRPr="00D7794D" w:rsidRDefault="007C174F" w:rsidP="00442E6A"/>
    <w:p w14:paraId="0BEF5E94" w14:textId="3ABC5D63" w:rsidR="005F7329" w:rsidRPr="00D7794D" w:rsidRDefault="005F7329" w:rsidP="00442E6A">
      <w:r w:rsidRPr="004B74BF">
        <w:rPr>
          <w:b/>
        </w:rPr>
        <w:t>Item [2]</w:t>
      </w:r>
      <w:r w:rsidRPr="00D7794D">
        <w:t xml:space="preserve"> amends Schedule 29 by </w:t>
      </w:r>
      <w:r w:rsidR="004E7B9B">
        <w:t xml:space="preserve">omitting the </w:t>
      </w:r>
      <w:r w:rsidR="00896A00">
        <w:t xml:space="preserve">existing </w:t>
      </w:r>
      <w:r w:rsidR="004E7B9B">
        <w:t xml:space="preserve">entry of ‘Niacin’ in </w:t>
      </w:r>
      <w:r w:rsidR="004E7B9B" w:rsidRPr="00D7794D">
        <w:t>the table to section S29—20</w:t>
      </w:r>
      <w:r w:rsidR="004E7B9B">
        <w:t xml:space="preserve"> and substituting it with a new ent</w:t>
      </w:r>
      <w:r w:rsidR="00FA12F4">
        <w:t>r</w:t>
      </w:r>
      <w:r w:rsidR="004E7B9B">
        <w:t>y</w:t>
      </w:r>
      <w:r w:rsidR="00896A00">
        <w:t>. The new entry</w:t>
      </w:r>
      <w:r w:rsidR="004E7B9B">
        <w:t xml:space="preserve"> </w:t>
      </w:r>
      <w:r w:rsidR="00896A00">
        <w:t>for Niacin list</w:t>
      </w:r>
      <w:r w:rsidR="004E7B9B">
        <w:t xml:space="preserve">s </w:t>
      </w:r>
      <w:r w:rsidR="00AE0582">
        <w:t>‘</w:t>
      </w:r>
      <w:r w:rsidRPr="00D7794D">
        <w:t>nicotinamide riboside chloride</w:t>
      </w:r>
      <w:r w:rsidR="00AE0582">
        <w:t>’</w:t>
      </w:r>
      <w:r w:rsidRPr="00D7794D">
        <w:t xml:space="preserve"> </w:t>
      </w:r>
      <w:r w:rsidR="004E7B9B">
        <w:t xml:space="preserve">as </w:t>
      </w:r>
      <w:r w:rsidR="00FA12F4">
        <w:t>one of two</w:t>
      </w:r>
      <w:r w:rsidR="004E7B9B">
        <w:t xml:space="preserve"> permitted form</w:t>
      </w:r>
      <w:r w:rsidR="00FA12F4">
        <w:t>s</w:t>
      </w:r>
      <w:r w:rsidR="004E7B9B">
        <w:t xml:space="preserve"> of Niacin </w:t>
      </w:r>
      <w:r w:rsidR="00FA12F4">
        <w:t>that may be added to FSMPs</w:t>
      </w:r>
      <w:r w:rsidR="00AE0582">
        <w:t xml:space="preserve">. The effect of this amendment is that </w:t>
      </w:r>
      <w:r w:rsidR="00AE0582" w:rsidRPr="00D7794D">
        <w:t>nicotinamide riboside chloride</w:t>
      </w:r>
      <w:r w:rsidR="00AE0582">
        <w:t xml:space="preserve"> </w:t>
      </w:r>
      <w:r w:rsidR="00FA12F4">
        <w:t>would</w:t>
      </w:r>
      <w:r w:rsidR="00AE0582">
        <w:t xml:space="preserve"> be</w:t>
      </w:r>
      <w:r w:rsidR="00AE0582" w:rsidRPr="00D7794D">
        <w:t xml:space="preserve"> </w:t>
      </w:r>
      <w:r w:rsidRPr="00D7794D">
        <w:t xml:space="preserve">a permitted form of niacin </w:t>
      </w:r>
      <w:r w:rsidR="00AE0582">
        <w:t>that may be added to</w:t>
      </w:r>
      <w:r w:rsidR="00AE0582" w:rsidRPr="00D7794D">
        <w:t xml:space="preserve"> </w:t>
      </w:r>
      <w:r w:rsidRPr="00D7794D">
        <w:t>FSMPs</w:t>
      </w:r>
      <w:r w:rsidR="00AE0582">
        <w:t xml:space="preserve"> in accordance with </w:t>
      </w:r>
      <w:r w:rsidR="00C569D0">
        <w:t>the Code</w:t>
      </w:r>
      <w:r w:rsidRPr="00D7794D">
        <w:t>.</w:t>
      </w:r>
    </w:p>
    <w:p w14:paraId="055A43DA" w14:textId="77777777" w:rsidR="007054A9" w:rsidRPr="00D7794D" w:rsidRDefault="007054A9" w:rsidP="00442E6A"/>
    <w:p w14:paraId="080E5A23" w14:textId="77777777" w:rsidR="007054A9" w:rsidRPr="00D7794D" w:rsidRDefault="007054A9" w:rsidP="00442E6A"/>
    <w:sectPr w:rsidR="007054A9" w:rsidRPr="00D7794D"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A6F3C6" w14:textId="77777777" w:rsidR="00502074" w:rsidRDefault="00502074">
      <w:r>
        <w:separator/>
      </w:r>
    </w:p>
  </w:endnote>
  <w:endnote w:type="continuationSeparator" w:id="0">
    <w:p w14:paraId="4DC86AE8" w14:textId="77777777" w:rsidR="00502074" w:rsidRDefault="00502074">
      <w:r>
        <w:continuationSeparator/>
      </w:r>
    </w:p>
  </w:endnote>
  <w:endnote w:type="continuationNotice" w:id="1">
    <w:p w14:paraId="2966CE58" w14:textId="77777777" w:rsidR="00502074" w:rsidRDefault="00502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11453" w14:textId="6EC76579" w:rsidR="00502074" w:rsidRDefault="00502074" w:rsidP="006A62F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3E857C03" w14:textId="77777777" w:rsidR="00502074" w:rsidRDefault="00502074" w:rsidP="00B67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C1D8" w14:textId="0D2B3521" w:rsidR="00502074" w:rsidRDefault="0050207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52C7">
      <w:rPr>
        <w:rStyle w:val="PageNumber"/>
        <w:noProof/>
      </w:rPr>
      <w:t>2</w:t>
    </w:r>
    <w:r>
      <w:rPr>
        <w:rStyle w:val="PageNumber"/>
      </w:rPr>
      <w:fldChar w:fldCharType="end"/>
    </w:r>
  </w:p>
  <w:p w14:paraId="7CF73D54" w14:textId="77777777" w:rsidR="00502074" w:rsidRDefault="00502074" w:rsidP="00B67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C8DF7" w14:textId="77777777" w:rsidR="00502074" w:rsidRDefault="00502074">
      <w:r>
        <w:separator/>
      </w:r>
    </w:p>
  </w:footnote>
  <w:footnote w:type="continuationSeparator" w:id="0">
    <w:p w14:paraId="2E469EF4" w14:textId="77777777" w:rsidR="00502074" w:rsidRDefault="00502074">
      <w:r>
        <w:continuationSeparator/>
      </w:r>
    </w:p>
  </w:footnote>
  <w:footnote w:type="continuationNotice" w:id="1">
    <w:p w14:paraId="2BC731C8" w14:textId="77777777" w:rsidR="00502074" w:rsidRDefault="00502074"/>
  </w:footnote>
  <w:footnote w:id="2">
    <w:p w14:paraId="36D12A9C" w14:textId="2DAC88E3" w:rsidR="00502074" w:rsidRPr="00C82E1E" w:rsidRDefault="00502074" w:rsidP="00C82E1E">
      <w:pPr>
        <w:rPr>
          <w:rFonts w:cs="Arial"/>
          <w:sz w:val="16"/>
          <w:szCs w:val="16"/>
          <w:lang w:bidi="ar-SA"/>
        </w:rPr>
      </w:pPr>
      <w:r>
        <w:rPr>
          <w:rStyle w:val="FootnoteReference"/>
        </w:rPr>
        <w:footnoteRef/>
      </w:r>
      <w:r>
        <w:t xml:space="preserve"> </w:t>
      </w:r>
      <w:hyperlink r:id="rId1" w:history="1">
        <w:r>
          <w:rPr>
            <w:rStyle w:val="Hyperlink"/>
            <w:rFonts w:cs="Arial"/>
            <w:sz w:val="16"/>
            <w:szCs w:val="16"/>
          </w:rPr>
          <w:t>http://www.fao.org/fao-who-codexalimentarius/codex-texts/list-standards/en/</w:t>
        </w:r>
      </w:hyperlink>
    </w:p>
  </w:footnote>
  <w:footnote w:id="3">
    <w:p w14:paraId="387F799A" w14:textId="045617E9" w:rsidR="00502074" w:rsidRPr="00C82E1E" w:rsidRDefault="00502074" w:rsidP="00C82E1E">
      <w:pPr>
        <w:rPr>
          <w:rFonts w:cs="Arial"/>
          <w:sz w:val="16"/>
          <w:szCs w:val="16"/>
          <w:lang w:bidi="ar-SA"/>
        </w:rPr>
      </w:pPr>
      <w:r>
        <w:rPr>
          <w:rStyle w:val="FootnoteReference"/>
        </w:rPr>
        <w:footnoteRef/>
      </w:r>
      <w:r>
        <w:t xml:space="preserve"> </w:t>
      </w:r>
      <w:hyperlink r:id="rId2" w:history="1">
        <w:r>
          <w:rPr>
            <w:rStyle w:val="Hyperlink"/>
            <w:rFonts w:cs="Arial"/>
            <w:sz w:val="16"/>
            <w:szCs w:val="16"/>
          </w:rPr>
          <w:t>http://www.fao.org/fao-who-codexalimentarius/codex-texts/list-standards/en/</w:t>
        </w:r>
      </w:hyperlink>
    </w:p>
  </w:footnote>
  <w:footnote w:id="4">
    <w:p w14:paraId="7795623F" w14:textId="051E57FC" w:rsidR="00502074" w:rsidRPr="00DF4DFE" w:rsidRDefault="00502074">
      <w:pPr>
        <w:pStyle w:val="FootnoteText"/>
        <w:rPr>
          <w:lang w:val="en-AU"/>
        </w:rPr>
      </w:pPr>
      <w:r>
        <w:rPr>
          <w:rStyle w:val="FootnoteReference"/>
        </w:rPr>
        <w:footnoteRef/>
      </w:r>
      <w:r>
        <w:t xml:space="preserve"> </w:t>
      </w:r>
      <w:hyperlink r:id="rId3" w:history="1">
        <w:r w:rsidRPr="00DF4DFE">
          <w:rPr>
            <w:rStyle w:val="Hyperlink"/>
            <w:sz w:val="16"/>
          </w:rPr>
          <w:t>https://www.cfsanappsexternal.fda.gov/scripts/fdcc/index.cfm?set=GRASNotices&amp;id=635</w:t>
        </w:r>
      </w:hyperlink>
      <w:r w:rsidRPr="00DF4DFE">
        <w:rPr>
          <w:sz w:val="16"/>
        </w:rPr>
        <w:t xml:space="preserve"> </w:t>
      </w:r>
    </w:p>
  </w:footnote>
  <w:footnote w:id="5">
    <w:p w14:paraId="3589B276" w14:textId="28A18581" w:rsidR="00502074" w:rsidRPr="00DF4DFE" w:rsidRDefault="00502074">
      <w:pPr>
        <w:pStyle w:val="FootnoteText"/>
        <w:rPr>
          <w:lang w:val="en-AU"/>
        </w:rPr>
      </w:pPr>
      <w:r>
        <w:rPr>
          <w:rStyle w:val="FootnoteReference"/>
        </w:rPr>
        <w:footnoteRef/>
      </w:r>
      <w:r>
        <w:t xml:space="preserve"> </w:t>
      </w:r>
      <w:hyperlink r:id="rId4" w:history="1">
        <w:r w:rsidRPr="00DF4DFE">
          <w:rPr>
            <w:rStyle w:val="Hyperlink"/>
            <w:sz w:val="16"/>
          </w:rPr>
          <w:t>https://eur-lex.europa.eu/legal-content/EN/TXT/PDF/?uri=CELEX:32020R0016&amp;from=EN</w:t>
        </w:r>
      </w:hyperlink>
      <w:r w:rsidRPr="00DF4DFE">
        <w:rPr>
          <w:sz w:val="16"/>
        </w:rPr>
        <w:t xml:space="preserve"> </w:t>
      </w:r>
    </w:p>
  </w:footnote>
  <w:footnote w:id="6">
    <w:p w14:paraId="3D68514D" w14:textId="77777777" w:rsidR="00502074" w:rsidRPr="007F5CED" w:rsidRDefault="00502074" w:rsidP="00FD2E45">
      <w:pPr>
        <w:pStyle w:val="FootnoteText"/>
        <w:rPr>
          <w:lang w:val="en-AU"/>
        </w:rPr>
      </w:pPr>
      <w:r>
        <w:rPr>
          <w:rStyle w:val="FootnoteReference"/>
        </w:rPr>
        <w:footnoteRef/>
      </w:r>
      <w:r>
        <w:t xml:space="preserve"> </w:t>
      </w:r>
      <w:r w:rsidRPr="007F5CED">
        <w:rPr>
          <w:sz w:val="16"/>
        </w:rPr>
        <w:t xml:space="preserve">Infant formula products are not FSMPs </w:t>
      </w:r>
      <w:r w:rsidRPr="007F5CED">
        <w:rPr>
          <w:rFonts w:cs="Arial"/>
          <w:sz w:val="16"/>
          <w:lang w:val="en-AU"/>
        </w:rPr>
        <w:t>and therefore are not regulated under Standard 2.9.5, but are regulated under Standard 2.9.1. I</w:t>
      </w:r>
      <w:r w:rsidRPr="007F5CED">
        <w:rPr>
          <w:sz w:val="16"/>
        </w:rPr>
        <w:t>t is not being proposed that NRC will be added to these products.</w:t>
      </w:r>
    </w:p>
  </w:footnote>
  <w:footnote w:id="7">
    <w:p w14:paraId="329ED5DA" w14:textId="6E18BB93" w:rsidR="00502074" w:rsidRPr="00766D5D" w:rsidRDefault="00502074">
      <w:pPr>
        <w:pStyle w:val="FootnoteText"/>
        <w:rPr>
          <w:lang w:val="en-AU"/>
        </w:rPr>
      </w:pPr>
      <w:r>
        <w:rPr>
          <w:rStyle w:val="FootnoteReference"/>
        </w:rPr>
        <w:footnoteRef/>
      </w:r>
      <w:r>
        <w:t xml:space="preserve"> </w:t>
      </w:r>
      <w:r w:rsidRPr="007F5CED">
        <w:rPr>
          <w:sz w:val="16"/>
        </w:rPr>
        <w:t>Nutrient Reference Values for Australia and New Zealand</w:t>
      </w:r>
      <w:r>
        <w:rPr>
          <w:sz w:val="16"/>
        </w:rPr>
        <w:t xml:space="preserve"> – Niacin: </w:t>
      </w:r>
      <w:hyperlink r:id="rId5" w:history="1">
        <w:r w:rsidRPr="00766D5D">
          <w:rPr>
            <w:rStyle w:val="Hyperlink"/>
            <w:sz w:val="16"/>
          </w:rPr>
          <w:t>https://www.nrv.gov.au/nutrients/niacin</w:t>
        </w:r>
      </w:hyperlink>
      <w:r>
        <w:rPr>
          <w:sz w:val="16"/>
        </w:rPr>
        <w:t>.</w:t>
      </w:r>
      <w:r w:rsidRPr="00766D5D">
        <w:rPr>
          <w:sz w:val="16"/>
        </w:rPr>
        <w:t xml:space="preserve"> </w:t>
      </w:r>
    </w:p>
  </w:footnote>
  <w:footnote w:id="8">
    <w:p w14:paraId="6CE728B5" w14:textId="0970EF5F" w:rsidR="00502074" w:rsidRPr="007867EE" w:rsidRDefault="00502074">
      <w:pPr>
        <w:pStyle w:val="FootnoteText"/>
        <w:rPr>
          <w:lang w:val="en-AU"/>
        </w:rPr>
      </w:pPr>
      <w:r>
        <w:rPr>
          <w:rStyle w:val="FootnoteReference"/>
        </w:rPr>
        <w:footnoteRef/>
      </w:r>
      <w:r>
        <w:t xml:space="preserve"> </w:t>
      </w:r>
      <w:r w:rsidRPr="007867EE">
        <w:rPr>
          <w:rFonts w:cs="Arial"/>
          <w:color w:val="000000"/>
          <w:sz w:val="16"/>
          <w:szCs w:val="27"/>
          <w:shd w:val="clear" w:color="auto" w:fill="FFFFFF"/>
        </w:rPr>
        <w:t xml:space="preserve">Formerly referred to as </w:t>
      </w:r>
      <w:r w:rsidRPr="007867EE">
        <w:rPr>
          <w:rFonts w:cs="Arial"/>
          <w:i/>
          <w:color w:val="000000"/>
          <w:sz w:val="16"/>
          <w:szCs w:val="27"/>
          <w:shd w:val="clear" w:color="auto" w:fill="FFFFFF"/>
        </w:rPr>
        <w:t>The Australian and New Zealand Ministerial Forum on Food Regulation</w:t>
      </w:r>
    </w:p>
  </w:footnote>
  <w:footnote w:id="9">
    <w:p w14:paraId="7602E488" w14:textId="27B7A44B" w:rsidR="00502074" w:rsidRPr="006C51AD" w:rsidRDefault="00502074">
      <w:pPr>
        <w:pStyle w:val="FootnoteText"/>
        <w:rPr>
          <w:lang w:val="en-AU"/>
        </w:rPr>
      </w:pPr>
      <w:r>
        <w:rPr>
          <w:rStyle w:val="FootnoteReference"/>
        </w:rPr>
        <w:footnoteRef/>
      </w:r>
      <w:r>
        <w:t xml:space="preserve"> </w:t>
      </w:r>
      <w:hyperlink r:id="rId6" w:history="1">
        <w:r w:rsidRPr="006C51AD">
          <w:rPr>
            <w:rStyle w:val="Hyperlink"/>
            <w:sz w:val="16"/>
          </w:rPr>
          <w:t>https://foodregulation.gov.au/internet/fr/publishing.nsf/Content/publication-Policy-Guideline-on-Intent-of-Part-2-9-of-the-Food-Standards-Code-Special-Purpose-Foods</w:t>
        </w:r>
      </w:hyperlink>
      <w:r w:rsidRPr="006C51AD">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E7E09" w14:textId="0406DCCB" w:rsidR="00502074" w:rsidRDefault="0050207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D5C5C"/>
    <w:multiLevelType w:val="hybridMultilevel"/>
    <w:tmpl w:val="319EF9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E853F99"/>
    <w:multiLevelType w:val="multilevel"/>
    <w:tmpl w:val="2CDECD08"/>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FBC4097"/>
    <w:multiLevelType w:val="hybridMultilevel"/>
    <w:tmpl w:val="CA326A9C"/>
    <w:lvl w:ilvl="0" w:tplc="BBFEA00E">
      <w:start w:val="1"/>
      <w:numFmt w:val="lowerLetter"/>
      <w:lvlText w:val="(%1)"/>
      <w:lvlJc w:val="left"/>
      <w:pPr>
        <w:ind w:left="2060" w:hanging="360"/>
      </w:pPr>
      <w:rPr>
        <w:rFonts w:hint="default"/>
      </w:r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abstractNum w:abstractNumId="5" w15:restartNumberingAfterBreak="0">
    <w:nsid w:val="11AD4511"/>
    <w:multiLevelType w:val="hybridMultilevel"/>
    <w:tmpl w:val="D640D20C"/>
    <w:lvl w:ilvl="0" w:tplc="A5DA09EA">
      <w:start w:val="1"/>
      <w:numFmt w:val="lowerLetter"/>
      <w:lvlText w:val="(%1)"/>
      <w:lvlJc w:val="left"/>
      <w:pPr>
        <w:ind w:left="2697" w:hanging="570"/>
      </w:pPr>
      <w:rPr>
        <w:rFonts w:hint="default"/>
      </w:rPr>
    </w:lvl>
    <w:lvl w:ilvl="1" w:tplc="2416BA16">
      <w:start w:val="1"/>
      <w:numFmt w:val="lowerRoman"/>
      <w:lvlText w:val="(%2)"/>
      <w:lvlJc w:val="left"/>
      <w:pPr>
        <w:ind w:left="2775" w:hanging="360"/>
      </w:pPr>
      <w:rPr>
        <w:rFonts w:hint="default"/>
      </w:r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6" w15:restartNumberingAfterBreak="0">
    <w:nsid w:val="14E53D29"/>
    <w:multiLevelType w:val="hybridMultilevel"/>
    <w:tmpl w:val="3710BB00"/>
    <w:lvl w:ilvl="0" w:tplc="6794FF2A">
      <w:start w:val="1"/>
      <w:numFmt w:val="decimal"/>
      <w:lvlText w:val="%1.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FE54F0"/>
    <w:multiLevelType w:val="hybridMultilevel"/>
    <w:tmpl w:val="D152E112"/>
    <w:lvl w:ilvl="0" w:tplc="2DDCA5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F3D50"/>
    <w:multiLevelType w:val="hybridMultilevel"/>
    <w:tmpl w:val="B86C9E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C341E"/>
    <w:multiLevelType w:val="hybridMultilevel"/>
    <w:tmpl w:val="46CEDC9C"/>
    <w:lvl w:ilvl="0" w:tplc="6794FF2A">
      <w:start w:val="1"/>
      <w:numFmt w:val="decimal"/>
      <w:lvlText w:val="%1.3.1.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6794FF2A">
      <w:start w:val="1"/>
      <w:numFmt w:val="decimal"/>
      <w:lvlText w:val="%4.3.1.1"/>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56790"/>
    <w:multiLevelType w:val="hybridMultilevel"/>
    <w:tmpl w:val="9042BFA2"/>
    <w:lvl w:ilvl="0" w:tplc="A3440376">
      <w:start w:val="1"/>
      <w:numFmt w:val="decimal"/>
      <w:lvlText w:val="%1.3.1"/>
      <w:lvlJc w:val="left"/>
      <w:pPr>
        <w:ind w:left="720" w:hanging="360"/>
      </w:pPr>
      <w:rPr>
        <w:rFonts w:hint="default"/>
      </w:rPr>
    </w:lvl>
    <w:lvl w:ilvl="1" w:tplc="08090019">
      <w:start w:val="1"/>
      <w:numFmt w:val="lowerLetter"/>
      <w:lvlText w:val="%2."/>
      <w:lvlJc w:val="left"/>
      <w:pPr>
        <w:ind w:left="1440" w:hanging="360"/>
      </w:pPr>
    </w:lvl>
    <w:lvl w:ilvl="2" w:tplc="A3440376">
      <w:start w:val="1"/>
      <w:numFmt w:val="decimal"/>
      <w:lvlText w:val="%3.3.1"/>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FC76D8"/>
    <w:multiLevelType w:val="hybridMultilevel"/>
    <w:tmpl w:val="B538B45C"/>
    <w:lvl w:ilvl="0" w:tplc="70C484A2">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54AF8"/>
    <w:multiLevelType w:val="multilevel"/>
    <w:tmpl w:val="7DE640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0FE0D11"/>
    <w:multiLevelType w:val="hybridMultilevel"/>
    <w:tmpl w:val="E1F87A1E"/>
    <w:lvl w:ilvl="0" w:tplc="A344037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6AF69D8"/>
    <w:multiLevelType w:val="hybridMultilevel"/>
    <w:tmpl w:val="C2F248FA"/>
    <w:lvl w:ilvl="0" w:tplc="6794FF2A">
      <w:start w:val="1"/>
      <w:numFmt w:val="decimal"/>
      <w:lvlText w:val="%1.3.1.1"/>
      <w:lvlJc w:val="left"/>
      <w:pPr>
        <w:ind w:left="23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814202"/>
    <w:multiLevelType w:val="multilevel"/>
    <w:tmpl w:val="7DE6403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E65D34"/>
    <w:multiLevelType w:val="hybridMultilevel"/>
    <w:tmpl w:val="B97EB610"/>
    <w:lvl w:ilvl="0" w:tplc="886AF426">
      <w:numFmt w:val="bullet"/>
      <w:lvlText w:val="•"/>
      <w:lvlJc w:val="left"/>
      <w:pPr>
        <w:ind w:left="900" w:hanging="360"/>
      </w:pPr>
      <w:rPr>
        <w:rFonts w:ascii="Times New Roman" w:eastAsia="Times New Roman" w:hAnsi="Times New Roman" w:cs="Times New Roman" w:hint="default"/>
        <w:w w:val="131"/>
      </w:rPr>
    </w:lvl>
    <w:lvl w:ilvl="1" w:tplc="1C4876FA">
      <w:numFmt w:val="bullet"/>
      <w:lvlText w:val="-"/>
      <w:lvlJc w:val="left"/>
      <w:pPr>
        <w:ind w:left="1620" w:hanging="360"/>
      </w:pPr>
      <w:rPr>
        <w:rFonts w:ascii="Courier New" w:eastAsia="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21" w15:restartNumberingAfterBreak="0">
    <w:nsid w:val="506C7FB6"/>
    <w:multiLevelType w:val="hybridMultilevel"/>
    <w:tmpl w:val="33663F7C"/>
    <w:lvl w:ilvl="0" w:tplc="0DC820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3" w15:restartNumberingAfterBreak="0">
    <w:nsid w:val="65427039"/>
    <w:multiLevelType w:val="hybridMultilevel"/>
    <w:tmpl w:val="7FAC5770"/>
    <w:lvl w:ilvl="0" w:tplc="832E1E3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8671E"/>
    <w:multiLevelType w:val="hybridMultilevel"/>
    <w:tmpl w:val="5268FAAE"/>
    <w:lvl w:ilvl="0" w:tplc="5434A5B6">
      <w:start w:val="1"/>
      <w:numFmt w:val="decimal"/>
      <w:lvlText w:val="%1.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C57134"/>
    <w:multiLevelType w:val="hybridMultilevel"/>
    <w:tmpl w:val="663E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2E1E23"/>
    <w:multiLevelType w:val="hybridMultilevel"/>
    <w:tmpl w:val="A588F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E96A7F"/>
    <w:multiLevelType w:val="hybridMultilevel"/>
    <w:tmpl w:val="E4702B98"/>
    <w:lvl w:ilvl="0" w:tplc="AFE8DCAE">
      <w:start w:val="1"/>
      <w:numFmt w:val="decimal"/>
      <w:lvlText w:val="%1"/>
      <w:lvlJc w:val="left"/>
      <w:pPr>
        <w:ind w:left="765" w:hanging="405"/>
      </w:pPr>
      <w:rPr>
        <w:rFonts w:hint="default"/>
      </w:rPr>
    </w:lvl>
    <w:lvl w:ilvl="1" w:tplc="1E7026F2">
      <w:start w:val="2"/>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14940DF"/>
    <w:multiLevelType w:val="hybridMultilevel"/>
    <w:tmpl w:val="FB52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0" w15:restartNumberingAfterBreak="0">
    <w:nsid w:val="74F531FD"/>
    <w:multiLevelType w:val="hybridMultilevel"/>
    <w:tmpl w:val="C4741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9B077E"/>
    <w:multiLevelType w:val="multilevel"/>
    <w:tmpl w:val="2AFA35A0"/>
    <w:lvl w:ilvl="0">
      <w:start w:val="1"/>
      <w:numFmt w:val="decimal"/>
      <w:lvlText w:val="%1"/>
      <w:lvlJc w:val="left"/>
      <w:pPr>
        <w:ind w:left="400" w:hanging="400"/>
      </w:pPr>
      <w:rPr>
        <w:rFonts w:hint="default"/>
      </w:rPr>
    </w:lvl>
    <w:lvl w:ilvl="1">
      <w:start w:val="3"/>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8F324F"/>
    <w:multiLevelType w:val="hybridMultilevel"/>
    <w:tmpl w:val="54F81098"/>
    <w:lvl w:ilvl="0" w:tplc="CBF86236">
      <w:start w:val="1"/>
      <w:numFmt w:val="decimal"/>
      <w:lvlText w:val="(%1)"/>
      <w:lvlJc w:val="left"/>
      <w:pPr>
        <w:ind w:left="1700" w:hanging="570"/>
      </w:pPr>
      <w:rPr>
        <w:rFonts w:hint="default"/>
      </w:rPr>
    </w:lvl>
    <w:lvl w:ilvl="1" w:tplc="08090019">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num w:numId="1">
    <w:abstractNumId w:val="1"/>
  </w:num>
  <w:num w:numId="2">
    <w:abstractNumId w:val="19"/>
  </w:num>
  <w:num w:numId="3">
    <w:abstractNumId w:val="0"/>
  </w:num>
  <w:num w:numId="4">
    <w:abstractNumId w:val="22"/>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9"/>
  </w:num>
  <w:num w:numId="8">
    <w:abstractNumId w:val="17"/>
  </w:num>
  <w:num w:numId="9">
    <w:abstractNumId w:val="8"/>
  </w:num>
  <w:num w:numId="10">
    <w:abstractNumId w:val="12"/>
  </w:num>
  <w:num w:numId="11">
    <w:abstractNumId w:val="7"/>
  </w:num>
  <w:num w:numId="12">
    <w:abstractNumId w:val="31"/>
  </w:num>
  <w:num w:numId="13">
    <w:abstractNumId w:val="28"/>
  </w:num>
  <w:num w:numId="14">
    <w:abstractNumId w:val="2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32"/>
  </w:num>
  <w:num w:numId="18">
    <w:abstractNumId w:val="4"/>
  </w:num>
  <w:num w:numId="19">
    <w:abstractNumId w:val="5"/>
  </w:num>
  <w:num w:numId="20">
    <w:abstractNumId w:val="2"/>
  </w:num>
  <w:num w:numId="21">
    <w:abstractNumId w:val="27"/>
  </w:num>
  <w:num w:numId="22">
    <w:abstractNumId w:val="13"/>
  </w:num>
  <w:num w:numId="23">
    <w:abstractNumId w:val="18"/>
  </w:num>
  <w:num w:numId="24">
    <w:abstractNumId w:val="15"/>
  </w:num>
  <w:num w:numId="25">
    <w:abstractNumId w:val="10"/>
  </w:num>
  <w:num w:numId="26">
    <w:abstractNumId w:val="16"/>
  </w:num>
  <w:num w:numId="27">
    <w:abstractNumId w:val="9"/>
  </w:num>
  <w:num w:numId="28">
    <w:abstractNumId w:val="6"/>
  </w:num>
  <w:num w:numId="29">
    <w:abstractNumId w:val="24"/>
  </w:num>
  <w:num w:numId="30">
    <w:abstractNumId w:val="21"/>
  </w:num>
  <w:num w:numId="31">
    <w:abstractNumId w:val="25"/>
  </w:num>
  <w:num w:numId="32">
    <w:abstractNumId w:val="26"/>
  </w:num>
  <w:num w:numId="33">
    <w:abstractNumId w:val="30"/>
  </w:num>
  <w:num w:numId="3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6179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1F62"/>
    <w:rsid w:val="0000247B"/>
    <w:rsid w:val="00004274"/>
    <w:rsid w:val="0000469B"/>
    <w:rsid w:val="00012AE5"/>
    <w:rsid w:val="0001690A"/>
    <w:rsid w:val="00016CB6"/>
    <w:rsid w:val="00020495"/>
    <w:rsid w:val="00022DBC"/>
    <w:rsid w:val="00023014"/>
    <w:rsid w:val="00023B9D"/>
    <w:rsid w:val="000260C7"/>
    <w:rsid w:val="0003110A"/>
    <w:rsid w:val="00033560"/>
    <w:rsid w:val="00033CD9"/>
    <w:rsid w:val="00034F87"/>
    <w:rsid w:val="00035FF3"/>
    <w:rsid w:val="000427B2"/>
    <w:rsid w:val="00044A28"/>
    <w:rsid w:val="00047BD5"/>
    <w:rsid w:val="00047D91"/>
    <w:rsid w:val="00051021"/>
    <w:rsid w:val="00051ED9"/>
    <w:rsid w:val="000545CE"/>
    <w:rsid w:val="000564DE"/>
    <w:rsid w:val="00057181"/>
    <w:rsid w:val="000612DD"/>
    <w:rsid w:val="00064B2D"/>
    <w:rsid w:val="00065F1F"/>
    <w:rsid w:val="000735FD"/>
    <w:rsid w:val="0007466A"/>
    <w:rsid w:val="00076D33"/>
    <w:rsid w:val="000778D6"/>
    <w:rsid w:val="000829A3"/>
    <w:rsid w:val="00084492"/>
    <w:rsid w:val="0008460F"/>
    <w:rsid w:val="0008497B"/>
    <w:rsid w:val="00085C8B"/>
    <w:rsid w:val="000877DD"/>
    <w:rsid w:val="00090497"/>
    <w:rsid w:val="00091CC2"/>
    <w:rsid w:val="00092F73"/>
    <w:rsid w:val="00094CD4"/>
    <w:rsid w:val="00096125"/>
    <w:rsid w:val="000A1C02"/>
    <w:rsid w:val="000A27E9"/>
    <w:rsid w:val="000A3AE4"/>
    <w:rsid w:val="000A3D8B"/>
    <w:rsid w:val="000A4553"/>
    <w:rsid w:val="000A5DF8"/>
    <w:rsid w:val="000B2A86"/>
    <w:rsid w:val="000B6AF2"/>
    <w:rsid w:val="000B7EFC"/>
    <w:rsid w:val="000C1B7A"/>
    <w:rsid w:val="000C412C"/>
    <w:rsid w:val="000C6796"/>
    <w:rsid w:val="000D1E6A"/>
    <w:rsid w:val="000D295F"/>
    <w:rsid w:val="000D37E5"/>
    <w:rsid w:val="000D5153"/>
    <w:rsid w:val="000D6FD4"/>
    <w:rsid w:val="000D7CB7"/>
    <w:rsid w:val="000E0AE4"/>
    <w:rsid w:val="000E3DBC"/>
    <w:rsid w:val="000F4668"/>
    <w:rsid w:val="00101422"/>
    <w:rsid w:val="00102105"/>
    <w:rsid w:val="0010281F"/>
    <w:rsid w:val="00105049"/>
    <w:rsid w:val="0010530D"/>
    <w:rsid w:val="00110EDD"/>
    <w:rsid w:val="0011386C"/>
    <w:rsid w:val="00113CE3"/>
    <w:rsid w:val="00117522"/>
    <w:rsid w:val="00117D17"/>
    <w:rsid w:val="0012037E"/>
    <w:rsid w:val="001203CA"/>
    <w:rsid w:val="00121A76"/>
    <w:rsid w:val="00121C75"/>
    <w:rsid w:val="00127688"/>
    <w:rsid w:val="00151550"/>
    <w:rsid w:val="001542D8"/>
    <w:rsid w:val="001559FF"/>
    <w:rsid w:val="00156C95"/>
    <w:rsid w:val="0015770F"/>
    <w:rsid w:val="001621A1"/>
    <w:rsid w:val="00170B0F"/>
    <w:rsid w:val="00173E02"/>
    <w:rsid w:val="00174BEB"/>
    <w:rsid w:val="00177D3C"/>
    <w:rsid w:val="00180C41"/>
    <w:rsid w:val="00182C4C"/>
    <w:rsid w:val="00186BD1"/>
    <w:rsid w:val="001870B0"/>
    <w:rsid w:val="00187207"/>
    <w:rsid w:val="00195254"/>
    <w:rsid w:val="00197D8D"/>
    <w:rsid w:val="001A157E"/>
    <w:rsid w:val="001A1A75"/>
    <w:rsid w:val="001A3C46"/>
    <w:rsid w:val="001A7E9A"/>
    <w:rsid w:val="001B4E55"/>
    <w:rsid w:val="001B6F24"/>
    <w:rsid w:val="001C1E88"/>
    <w:rsid w:val="001C211D"/>
    <w:rsid w:val="001C27A3"/>
    <w:rsid w:val="001C282C"/>
    <w:rsid w:val="001C3734"/>
    <w:rsid w:val="001C3D2F"/>
    <w:rsid w:val="001C5295"/>
    <w:rsid w:val="001C5EC8"/>
    <w:rsid w:val="001D5734"/>
    <w:rsid w:val="001E09FA"/>
    <w:rsid w:val="001E1C2E"/>
    <w:rsid w:val="001E52C7"/>
    <w:rsid w:val="001F1235"/>
    <w:rsid w:val="001F5B9C"/>
    <w:rsid w:val="001F6652"/>
    <w:rsid w:val="001F719F"/>
    <w:rsid w:val="001F74B2"/>
    <w:rsid w:val="00203540"/>
    <w:rsid w:val="00205068"/>
    <w:rsid w:val="002053F5"/>
    <w:rsid w:val="00205AB7"/>
    <w:rsid w:val="0021295D"/>
    <w:rsid w:val="00212C87"/>
    <w:rsid w:val="00221D07"/>
    <w:rsid w:val="00227007"/>
    <w:rsid w:val="00227E4A"/>
    <w:rsid w:val="0023481C"/>
    <w:rsid w:val="0023504E"/>
    <w:rsid w:val="0024038F"/>
    <w:rsid w:val="002431C7"/>
    <w:rsid w:val="00243215"/>
    <w:rsid w:val="002432EE"/>
    <w:rsid w:val="00244998"/>
    <w:rsid w:val="00244D41"/>
    <w:rsid w:val="0024582E"/>
    <w:rsid w:val="002467D3"/>
    <w:rsid w:val="00247208"/>
    <w:rsid w:val="002516C4"/>
    <w:rsid w:val="00252CCE"/>
    <w:rsid w:val="002547EF"/>
    <w:rsid w:val="00255C69"/>
    <w:rsid w:val="00256D65"/>
    <w:rsid w:val="00261715"/>
    <w:rsid w:val="00264D5E"/>
    <w:rsid w:val="00271F00"/>
    <w:rsid w:val="0027203D"/>
    <w:rsid w:val="00273A80"/>
    <w:rsid w:val="00273D8E"/>
    <w:rsid w:val="0027513D"/>
    <w:rsid w:val="00275750"/>
    <w:rsid w:val="00276026"/>
    <w:rsid w:val="002802F6"/>
    <w:rsid w:val="00280E85"/>
    <w:rsid w:val="002851C8"/>
    <w:rsid w:val="0029128A"/>
    <w:rsid w:val="0029204E"/>
    <w:rsid w:val="00294BAD"/>
    <w:rsid w:val="0029631C"/>
    <w:rsid w:val="00296A72"/>
    <w:rsid w:val="00296D21"/>
    <w:rsid w:val="002A0194"/>
    <w:rsid w:val="002A5F8B"/>
    <w:rsid w:val="002A645A"/>
    <w:rsid w:val="002A7F6C"/>
    <w:rsid w:val="002B0D8E"/>
    <w:rsid w:val="002B5287"/>
    <w:rsid w:val="002C30B8"/>
    <w:rsid w:val="002C4A91"/>
    <w:rsid w:val="002D0C68"/>
    <w:rsid w:val="002D1F55"/>
    <w:rsid w:val="002D2897"/>
    <w:rsid w:val="002D6809"/>
    <w:rsid w:val="002E086A"/>
    <w:rsid w:val="002E3B86"/>
    <w:rsid w:val="002E5290"/>
    <w:rsid w:val="002F1254"/>
    <w:rsid w:val="002F31B5"/>
    <w:rsid w:val="002F6488"/>
    <w:rsid w:val="002F78C5"/>
    <w:rsid w:val="00301A65"/>
    <w:rsid w:val="0030279C"/>
    <w:rsid w:val="00305F76"/>
    <w:rsid w:val="00310E84"/>
    <w:rsid w:val="00311ACA"/>
    <w:rsid w:val="00315A71"/>
    <w:rsid w:val="003172A1"/>
    <w:rsid w:val="003213F9"/>
    <w:rsid w:val="00323DBF"/>
    <w:rsid w:val="0032486B"/>
    <w:rsid w:val="003309A8"/>
    <w:rsid w:val="00332B12"/>
    <w:rsid w:val="0033470E"/>
    <w:rsid w:val="00336711"/>
    <w:rsid w:val="00346D57"/>
    <w:rsid w:val="00346F0D"/>
    <w:rsid w:val="00347935"/>
    <w:rsid w:val="00350DBD"/>
    <w:rsid w:val="00351927"/>
    <w:rsid w:val="00351B07"/>
    <w:rsid w:val="00351E4F"/>
    <w:rsid w:val="00353999"/>
    <w:rsid w:val="0036087D"/>
    <w:rsid w:val="0036268A"/>
    <w:rsid w:val="00364024"/>
    <w:rsid w:val="00364779"/>
    <w:rsid w:val="00364841"/>
    <w:rsid w:val="0036577D"/>
    <w:rsid w:val="00370445"/>
    <w:rsid w:val="003717CB"/>
    <w:rsid w:val="00371B29"/>
    <w:rsid w:val="00372182"/>
    <w:rsid w:val="0037520F"/>
    <w:rsid w:val="00384F68"/>
    <w:rsid w:val="00391769"/>
    <w:rsid w:val="003953E1"/>
    <w:rsid w:val="003956B3"/>
    <w:rsid w:val="00396376"/>
    <w:rsid w:val="00396690"/>
    <w:rsid w:val="003A468D"/>
    <w:rsid w:val="003A526E"/>
    <w:rsid w:val="003A68BE"/>
    <w:rsid w:val="003A6908"/>
    <w:rsid w:val="003A7725"/>
    <w:rsid w:val="003B2C17"/>
    <w:rsid w:val="003B3C9D"/>
    <w:rsid w:val="003B78E0"/>
    <w:rsid w:val="003B7CBD"/>
    <w:rsid w:val="003C061D"/>
    <w:rsid w:val="003C1AD8"/>
    <w:rsid w:val="003C2979"/>
    <w:rsid w:val="003C4969"/>
    <w:rsid w:val="003D129D"/>
    <w:rsid w:val="003D3005"/>
    <w:rsid w:val="003E2A18"/>
    <w:rsid w:val="003E41D5"/>
    <w:rsid w:val="003E46BA"/>
    <w:rsid w:val="003E6F1F"/>
    <w:rsid w:val="003E7D22"/>
    <w:rsid w:val="003F57CD"/>
    <w:rsid w:val="003F5E81"/>
    <w:rsid w:val="003F74C1"/>
    <w:rsid w:val="00400BD2"/>
    <w:rsid w:val="00404408"/>
    <w:rsid w:val="00405B1A"/>
    <w:rsid w:val="00407241"/>
    <w:rsid w:val="0040761E"/>
    <w:rsid w:val="00407DF4"/>
    <w:rsid w:val="00410C76"/>
    <w:rsid w:val="00410D5D"/>
    <w:rsid w:val="004112E2"/>
    <w:rsid w:val="00411907"/>
    <w:rsid w:val="00413CA8"/>
    <w:rsid w:val="00417EE3"/>
    <w:rsid w:val="004207EB"/>
    <w:rsid w:val="0042758B"/>
    <w:rsid w:val="00427B8A"/>
    <w:rsid w:val="004309C7"/>
    <w:rsid w:val="00433D61"/>
    <w:rsid w:val="00435FA5"/>
    <w:rsid w:val="00436B8D"/>
    <w:rsid w:val="00437276"/>
    <w:rsid w:val="00442E6A"/>
    <w:rsid w:val="0044452A"/>
    <w:rsid w:val="00447E67"/>
    <w:rsid w:val="00451995"/>
    <w:rsid w:val="0045556F"/>
    <w:rsid w:val="00456A26"/>
    <w:rsid w:val="00456B54"/>
    <w:rsid w:val="00457C6F"/>
    <w:rsid w:val="00464643"/>
    <w:rsid w:val="004646F8"/>
    <w:rsid w:val="0046638D"/>
    <w:rsid w:val="00470EB0"/>
    <w:rsid w:val="00474308"/>
    <w:rsid w:val="0047536D"/>
    <w:rsid w:val="00482F3F"/>
    <w:rsid w:val="00486096"/>
    <w:rsid w:val="00486793"/>
    <w:rsid w:val="004956ED"/>
    <w:rsid w:val="0049729B"/>
    <w:rsid w:val="004A2037"/>
    <w:rsid w:val="004A2E7C"/>
    <w:rsid w:val="004A3685"/>
    <w:rsid w:val="004B259F"/>
    <w:rsid w:val="004B695B"/>
    <w:rsid w:val="004B74BF"/>
    <w:rsid w:val="004C2CE7"/>
    <w:rsid w:val="004C5128"/>
    <w:rsid w:val="004C688D"/>
    <w:rsid w:val="004C76DA"/>
    <w:rsid w:val="004C7ABF"/>
    <w:rsid w:val="004D30A6"/>
    <w:rsid w:val="004D4E39"/>
    <w:rsid w:val="004D6BBF"/>
    <w:rsid w:val="004E00B6"/>
    <w:rsid w:val="004E3FF8"/>
    <w:rsid w:val="004E7B9B"/>
    <w:rsid w:val="004E7C69"/>
    <w:rsid w:val="004F24A9"/>
    <w:rsid w:val="004F4F98"/>
    <w:rsid w:val="004F69F6"/>
    <w:rsid w:val="004F79AC"/>
    <w:rsid w:val="005017CF"/>
    <w:rsid w:val="00502074"/>
    <w:rsid w:val="00512290"/>
    <w:rsid w:val="0051666E"/>
    <w:rsid w:val="0052003F"/>
    <w:rsid w:val="005207D8"/>
    <w:rsid w:val="00521F70"/>
    <w:rsid w:val="0052649E"/>
    <w:rsid w:val="00526F13"/>
    <w:rsid w:val="00527EEC"/>
    <w:rsid w:val="005319E3"/>
    <w:rsid w:val="0053464E"/>
    <w:rsid w:val="005358B0"/>
    <w:rsid w:val="00536AB7"/>
    <w:rsid w:val="00541715"/>
    <w:rsid w:val="00553969"/>
    <w:rsid w:val="00553F57"/>
    <w:rsid w:val="00556FF5"/>
    <w:rsid w:val="0055795D"/>
    <w:rsid w:val="00557DEC"/>
    <w:rsid w:val="00560F83"/>
    <w:rsid w:val="0056289F"/>
    <w:rsid w:val="00562917"/>
    <w:rsid w:val="00565FBE"/>
    <w:rsid w:val="00573E86"/>
    <w:rsid w:val="0057658C"/>
    <w:rsid w:val="00582F92"/>
    <w:rsid w:val="005849AC"/>
    <w:rsid w:val="00586228"/>
    <w:rsid w:val="0059227F"/>
    <w:rsid w:val="005941DB"/>
    <w:rsid w:val="0059498B"/>
    <w:rsid w:val="005A23B5"/>
    <w:rsid w:val="005A3A03"/>
    <w:rsid w:val="005A4657"/>
    <w:rsid w:val="005B01E7"/>
    <w:rsid w:val="005B1351"/>
    <w:rsid w:val="005B34A4"/>
    <w:rsid w:val="005B5EDC"/>
    <w:rsid w:val="005B615C"/>
    <w:rsid w:val="005B6AF4"/>
    <w:rsid w:val="005B7CD3"/>
    <w:rsid w:val="005C04CB"/>
    <w:rsid w:val="005C1640"/>
    <w:rsid w:val="005C437C"/>
    <w:rsid w:val="005C5C4E"/>
    <w:rsid w:val="005C5CC4"/>
    <w:rsid w:val="005C6757"/>
    <w:rsid w:val="005C71BA"/>
    <w:rsid w:val="005C71D4"/>
    <w:rsid w:val="005D16AD"/>
    <w:rsid w:val="005D6A1D"/>
    <w:rsid w:val="005D72E1"/>
    <w:rsid w:val="005E04F6"/>
    <w:rsid w:val="005E2901"/>
    <w:rsid w:val="005E2F53"/>
    <w:rsid w:val="005E6E16"/>
    <w:rsid w:val="005E7E98"/>
    <w:rsid w:val="005F0C78"/>
    <w:rsid w:val="005F1821"/>
    <w:rsid w:val="005F400E"/>
    <w:rsid w:val="005F7329"/>
    <w:rsid w:val="005F7342"/>
    <w:rsid w:val="005F7E64"/>
    <w:rsid w:val="006015B4"/>
    <w:rsid w:val="00602A06"/>
    <w:rsid w:val="00603A08"/>
    <w:rsid w:val="006066BC"/>
    <w:rsid w:val="00606C88"/>
    <w:rsid w:val="006078FD"/>
    <w:rsid w:val="00610A3C"/>
    <w:rsid w:val="00611976"/>
    <w:rsid w:val="006171A8"/>
    <w:rsid w:val="00620A9B"/>
    <w:rsid w:val="006211CD"/>
    <w:rsid w:val="006272B4"/>
    <w:rsid w:val="00627F48"/>
    <w:rsid w:val="0063011A"/>
    <w:rsid w:val="00630EF2"/>
    <w:rsid w:val="00633ACA"/>
    <w:rsid w:val="006342E0"/>
    <w:rsid w:val="006359C9"/>
    <w:rsid w:val="00642A47"/>
    <w:rsid w:val="006443B5"/>
    <w:rsid w:val="00646FDD"/>
    <w:rsid w:val="00647786"/>
    <w:rsid w:val="0066097B"/>
    <w:rsid w:val="00663227"/>
    <w:rsid w:val="00663FCF"/>
    <w:rsid w:val="006652A2"/>
    <w:rsid w:val="0067007B"/>
    <w:rsid w:val="00681754"/>
    <w:rsid w:val="00681A02"/>
    <w:rsid w:val="00681D53"/>
    <w:rsid w:val="00683B2B"/>
    <w:rsid w:val="00683E69"/>
    <w:rsid w:val="00685269"/>
    <w:rsid w:val="006937FF"/>
    <w:rsid w:val="006958B9"/>
    <w:rsid w:val="006965BF"/>
    <w:rsid w:val="006968AD"/>
    <w:rsid w:val="006A2349"/>
    <w:rsid w:val="006A48A7"/>
    <w:rsid w:val="006A62FC"/>
    <w:rsid w:val="006B4BA1"/>
    <w:rsid w:val="006C28E2"/>
    <w:rsid w:val="006C51AD"/>
    <w:rsid w:val="006C5CF5"/>
    <w:rsid w:val="006C6199"/>
    <w:rsid w:val="006C6C00"/>
    <w:rsid w:val="006C7C5F"/>
    <w:rsid w:val="006D7C66"/>
    <w:rsid w:val="006E24EF"/>
    <w:rsid w:val="006E2BA1"/>
    <w:rsid w:val="006E320D"/>
    <w:rsid w:val="006E527D"/>
    <w:rsid w:val="006E690C"/>
    <w:rsid w:val="006F17A0"/>
    <w:rsid w:val="006F2C42"/>
    <w:rsid w:val="006F4A82"/>
    <w:rsid w:val="006F7377"/>
    <w:rsid w:val="00700239"/>
    <w:rsid w:val="00700B1C"/>
    <w:rsid w:val="0070373B"/>
    <w:rsid w:val="00704E7C"/>
    <w:rsid w:val="007054A9"/>
    <w:rsid w:val="00707E72"/>
    <w:rsid w:val="007113EB"/>
    <w:rsid w:val="007132EF"/>
    <w:rsid w:val="00713642"/>
    <w:rsid w:val="00715203"/>
    <w:rsid w:val="00715BC1"/>
    <w:rsid w:val="00717775"/>
    <w:rsid w:val="0072150F"/>
    <w:rsid w:val="00723A73"/>
    <w:rsid w:val="00724FA4"/>
    <w:rsid w:val="00726C2F"/>
    <w:rsid w:val="007275DE"/>
    <w:rsid w:val="00730800"/>
    <w:rsid w:val="00730A61"/>
    <w:rsid w:val="007347CE"/>
    <w:rsid w:val="00736149"/>
    <w:rsid w:val="007368AB"/>
    <w:rsid w:val="00737902"/>
    <w:rsid w:val="00741EFE"/>
    <w:rsid w:val="00744B2C"/>
    <w:rsid w:val="00756416"/>
    <w:rsid w:val="007602AA"/>
    <w:rsid w:val="0076204F"/>
    <w:rsid w:val="00763813"/>
    <w:rsid w:val="00764CBA"/>
    <w:rsid w:val="00764D33"/>
    <w:rsid w:val="007652EF"/>
    <w:rsid w:val="00766D5D"/>
    <w:rsid w:val="00772BDC"/>
    <w:rsid w:val="00773033"/>
    <w:rsid w:val="00780792"/>
    <w:rsid w:val="007867EE"/>
    <w:rsid w:val="00787773"/>
    <w:rsid w:val="0078782A"/>
    <w:rsid w:val="007900B3"/>
    <w:rsid w:val="007908E0"/>
    <w:rsid w:val="00794F8C"/>
    <w:rsid w:val="00795CCB"/>
    <w:rsid w:val="00796757"/>
    <w:rsid w:val="007976FF"/>
    <w:rsid w:val="007A38BA"/>
    <w:rsid w:val="007A44B4"/>
    <w:rsid w:val="007A6A4D"/>
    <w:rsid w:val="007A7D3D"/>
    <w:rsid w:val="007B225D"/>
    <w:rsid w:val="007C03F2"/>
    <w:rsid w:val="007C14F0"/>
    <w:rsid w:val="007C174F"/>
    <w:rsid w:val="007C1C64"/>
    <w:rsid w:val="007C4A46"/>
    <w:rsid w:val="007D40A1"/>
    <w:rsid w:val="007D472D"/>
    <w:rsid w:val="007E34B8"/>
    <w:rsid w:val="007E48BC"/>
    <w:rsid w:val="007E79F7"/>
    <w:rsid w:val="007F2035"/>
    <w:rsid w:val="007F3630"/>
    <w:rsid w:val="007F5CED"/>
    <w:rsid w:val="007F766D"/>
    <w:rsid w:val="00806DD2"/>
    <w:rsid w:val="00807559"/>
    <w:rsid w:val="0081629F"/>
    <w:rsid w:val="008200DB"/>
    <w:rsid w:val="00820535"/>
    <w:rsid w:val="00823909"/>
    <w:rsid w:val="008271A0"/>
    <w:rsid w:val="008273A9"/>
    <w:rsid w:val="0083794B"/>
    <w:rsid w:val="00843455"/>
    <w:rsid w:val="008450BC"/>
    <w:rsid w:val="00846259"/>
    <w:rsid w:val="0085079F"/>
    <w:rsid w:val="00851A3C"/>
    <w:rsid w:val="00851A60"/>
    <w:rsid w:val="0085334B"/>
    <w:rsid w:val="00856DA4"/>
    <w:rsid w:val="0086040A"/>
    <w:rsid w:val="00861E62"/>
    <w:rsid w:val="00862901"/>
    <w:rsid w:val="00863020"/>
    <w:rsid w:val="008636A5"/>
    <w:rsid w:val="0086512A"/>
    <w:rsid w:val="00865417"/>
    <w:rsid w:val="00865AB8"/>
    <w:rsid w:val="00867B23"/>
    <w:rsid w:val="00870214"/>
    <w:rsid w:val="0087061A"/>
    <w:rsid w:val="00871FEF"/>
    <w:rsid w:val="00875870"/>
    <w:rsid w:val="00876515"/>
    <w:rsid w:val="0087783E"/>
    <w:rsid w:val="00881283"/>
    <w:rsid w:val="008828D9"/>
    <w:rsid w:val="00885C51"/>
    <w:rsid w:val="00885EB0"/>
    <w:rsid w:val="0089264A"/>
    <w:rsid w:val="00894AD1"/>
    <w:rsid w:val="008955D4"/>
    <w:rsid w:val="00896A00"/>
    <w:rsid w:val="00896B85"/>
    <w:rsid w:val="00897554"/>
    <w:rsid w:val="008A22BE"/>
    <w:rsid w:val="008A3221"/>
    <w:rsid w:val="008A35FB"/>
    <w:rsid w:val="008A5343"/>
    <w:rsid w:val="008A70F9"/>
    <w:rsid w:val="008B0075"/>
    <w:rsid w:val="008B03B8"/>
    <w:rsid w:val="008B2C6E"/>
    <w:rsid w:val="008B5144"/>
    <w:rsid w:val="008B5567"/>
    <w:rsid w:val="008C0E7A"/>
    <w:rsid w:val="008C1B36"/>
    <w:rsid w:val="008C1D96"/>
    <w:rsid w:val="008C6F71"/>
    <w:rsid w:val="008C70C1"/>
    <w:rsid w:val="008D06C6"/>
    <w:rsid w:val="008D5CFA"/>
    <w:rsid w:val="008E1CB5"/>
    <w:rsid w:val="008E6250"/>
    <w:rsid w:val="008E6FBF"/>
    <w:rsid w:val="00901996"/>
    <w:rsid w:val="00901EF6"/>
    <w:rsid w:val="00902AF6"/>
    <w:rsid w:val="00903716"/>
    <w:rsid w:val="0090477B"/>
    <w:rsid w:val="0090739C"/>
    <w:rsid w:val="00914030"/>
    <w:rsid w:val="00920249"/>
    <w:rsid w:val="00924C80"/>
    <w:rsid w:val="009255A9"/>
    <w:rsid w:val="00925924"/>
    <w:rsid w:val="00927174"/>
    <w:rsid w:val="00927CAA"/>
    <w:rsid w:val="009328E2"/>
    <w:rsid w:val="00932BB4"/>
    <w:rsid w:val="00932F14"/>
    <w:rsid w:val="00936B0F"/>
    <w:rsid w:val="00937A2A"/>
    <w:rsid w:val="0094247F"/>
    <w:rsid w:val="00942902"/>
    <w:rsid w:val="00942D60"/>
    <w:rsid w:val="0094305C"/>
    <w:rsid w:val="00943773"/>
    <w:rsid w:val="00944BA4"/>
    <w:rsid w:val="0095024F"/>
    <w:rsid w:val="00961A81"/>
    <w:rsid w:val="0096355E"/>
    <w:rsid w:val="00964644"/>
    <w:rsid w:val="0096523B"/>
    <w:rsid w:val="009661AE"/>
    <w:rsid w:val="00966EE3"/>
    <w:rsid w:val="00970B79"/>
    <w:rsid w:val="00972D06"/>
    <w:rsid w:val="00981F6F"/>
    <w:rsid w:val="009836A7"/>
    <w:rsid w:val="00986C48"/>
    <w:rsid w:val="009900C4"/>
    <w:rsid w:val="00991F04"/>
    <w:rsid w:val="00992294"/>
    <w:rsid w:val="009A1FE5"/>
    <w:rsid w:val="009A21E7"/>
    <w:rsid w:val="009A391C"/>
    <w:rsid w:val="009A50F2"/>
    <w:rsid w:val="009A7138"/>
    <w:rsid w:val="009A7BB9"/>
    <w:rsid w:val="009B187A"/>
    <w:rsid w:val="009B6720"/>
    <w:rsid w:val="009C1511"/>
    <w:rsid w:val="009C2726"/>
    <w:rsid w:val="009C4322"/>
    <w:rsid w:val="009D0948"/>
    <w:rsid w:val="009D30D2"/>
    <w:rsid w:val="009D493E"/>
    <w:rsid w:val="009D5844"/>
    <w:rsid w:val="009D7639"/>
    <w:rsid w:val="009D790B"/>
    <w:rsid w:val="009E0A61"/>
    <w:rsid w:val="009E0DFD"/>
    <w:rsid w:val="009E3010"/>
    <w:rsid w:val="009F007E"/>
    <w:rsid w:val="009F1BCF"/>
    <w:rsid w:val="009F7065"/>
    <w:rsid w:val="00A12B44"/>
    <w:rsid w:val="00A16CF6"/>
    <w:rsid w:val="00A22C0B"/>
    <w:rsid w:val="00A24C67"/>
    <w:rsid w:val="00A24CD4"/>
    <w:rsid w:val="00A24ECB"/>
    <w:rsid w:val="00A32E2D"/>
    <w:rsid w:val="00A338EF"/>
    <w:rsid w:val="00A40193"/>
    <w:rsid w:val="00A4175D"/>
    <w:rsid w:val="00A54934"/>
    <w:rsid w:val="00A56DC7"/>
    <w:rsid w:val="00A56E34"/>
    <w:rsid w:val="00A7094C"/>
    <w:rsid w:val="00A73400"/>
    <w:rsid w:val="00A74FD1"/>
    <w:rsid w:val="00A77523"/>
    <w:rsid w:val="00A7793A"/>
    <w:rsid w:val="00A84A58"/>
    <w:rsid w:val="00A84D04"/>
    <w:rsid w:val="00A91DF1"/>
    <w:rsid w:val="00A96E06"/>
    <w:rsid w:val="00A97210"/>
    <w:rsid w:val="00AA1546"/>
    <w:rsid w:val="00AB0275"/>
    <w:rsid w:val="00AB21B8"/>
    <w:rsid w:val="00AB3E3A"/>
    <w:rsid w:val="00AC3643"/>
    <w:rsid w:val="00AC74CB"/>
    <w:rsid w:val="00AD2183"/>
    <w:rsid w:val="00AD22F9"/>
    <w:rsid w:val="00AD7A3D"/>
    <w:rsid w:val="00AE0582"/>
    <w:rsid w:val="00AE1B10"/>
    <w:rsid w:val="00AE4E6E"/>
    <w:rsid w:val="00AE6493"/>
    <w:rsid w:val="00AE766D"/>
    <w:rsid w:val="00AF06FC"/>
    <w:rsid w:val="00AF3391"/>
    <w:rsid w:val="00AF387F"/>
    <w:rsid w:val="00AF45C2"/>
    <w:rsid w:val="00AF602C"/>
    <w:rsid w:val="00B00E7F"/>
    <w:rsid w:val="00B04519"/>
    <w:rsid w:val="00B05FF7"/>
    <w:rsid w:val="00B11F0A"/>
    <w:rsid w:val="00B13677"/>
    <w:rsid w:val="00B14378"/>
    <w:rsid w:val="00B16265"/>
    <w:rsid w:val="00B173DA"/>
    <w:rsid w:val="00B21DCC"/>
    <w:rsid w:val="00B228C1"/>
    <w:rsid w:val="00B25F37"/>
    <w:rsid w:val="00B3030E"/>
    <w:rsid w:val="00B32ED1"/>
    <w:rsid w:val="00B34918"/>
    <w:rsid w:val="00B375C5"/>
    <w:rsid w:val="00B402AA"/>
    <w:rsid w:val="00B41613"/>
    <w:rsid w:val="00B42BB2"/>
    <w:rsid w:val="00B44422"/>
    <w:rsid w:val="00B46EA0"/>
    <w:rsid w:val="00B50905"/>
    <w:rsid w:val="00B50918"/>
    <w:rsid w:val="00B51E03"/>
    <w:rsid w:val="00B5344A"/>
    <w:rsid w:val="00B619DE"/>
    <w:rsid w:val="00B62E08"/>
    <w:rsid w:val="00B65710"/>
    <w:rsid w:val="00B67957"/>
    <w:rsid w:val="00B67CB4"/>
    <w:rsid w:val="00B71A86"/>
    <w:rsid w:val="00B71F51"/>
    <w:rsid w:val="00B731D3"/>
    <w:rsid w:val="00B749EB"/>
    <w:rsid w:val="00B75272"/>
    <w:rsid w:val="00B75297"/>
    <w:rsid w:val="00B80702"/>
    <w:rsid w:val="00B82167"/>
    <w:rsid w:val="00B839A3"/>
    <w:rsid w:val="00B853D2"/>
    <w:rsid w:val="00B85E22"/>
    <w:rsid w:val="00B902BD"/>
    <w:rsid w:val="00B9694C"/>
    <w:rsid w:val="00B97D30"/>
    <w:rsid w:val="00BA24E2"/>
    <w:rsid w:val="00BB57B6"/>
    <w:rsid w:val="00BB5930"/>
    <w:rsid w:val="00BC073E"/>
    <w:rsid w:val="00BD1F09"/>
    <w:rsid w:val="00BD1FC8"/>
    <w:rsid w:val="00BD2A39"/>
    <w:rsid w:val="00BD2D05"/>
    <w:rsid w:val="00BD2E80"/>
    <w:rsid w:val="00BD62DC"/>
    <w:rsid w:val="00BE07B7"/>
    <w:rsid w:val="00BE11B8"/>
    <w:rsid w:val="00BE36B4"/>
    <w:rsid w:val="00BE3818"/>
    <w:rsid w:val="00BF403F"/>
    <w:rsid w:val="00BF4CCF"/>
    <w:rsid w:val="00BF6825"/>
    <w:rsid w:val="00BF7429"/>
    <w:rsid w:val="00BF7FF0"/>
    <w:rsid w:val="00C0298E"/>
    <w:rsid w:val="00C117B5"/>
    <w:rsid w:val="00C12502"/>
    <w:rsid w:val="00C1266C"/>
    <w:rsid w:val="00C14FD2"/>
    <w:rsid w:val="00C157AA"/>
    <w:rsid w:val="00C15B4C"/>
    <w:rsid w:val="00C20C2C"/>
    <w:rsid w:val="00C36578"/>
    <w:rsid w:val="00C40361"/>
    <w:rsid w:val="00C40AA5"/>
    <w:rsid w:val="00C4117B"/>
    <w:rsid w:val="00C41756"/>
    <w:rsid w:val="00C44500"/>
    <w:rsid w:val="00C45BCF"/>
    <w:rsid w:val="00C46F70"/>
    <w:rsid w:val="00C476D0"/>
    <w:rsid w:val="00C5409C"/>
    <w:rsid w:val="00C569D0"/>
    <w:rsid w:val="00C56F71"/>
    <w:rsid w:val="00C61469"/>
    <w:rsid w:val="00C63580"/>
    <w:rsid w:val="00C65E0C"/>
    <w:rsid w:val="00C73D60"/>
    <w:rsid w:val="00C82E1E"/>
    <w:rsid w:val="00C836E3"/>
    <w:rsid w:val="00C84C7D"/>
    <w:rsid w:val="00C85CDA"/>
    <w:rsid w:val="00C86577"/>
    <w:rsid w:val="00C911C6"/>
    <w:rsid w:val="00C91F4F"/>
    <w:rsid w:val="00C92E07"/>
    <w:rsid w:val="00C94942"/>
    <w:rsid w:val="00C956D3"/>
    <w:rsid w:val="00C95A55"/>
    <w:rsid w:val="00C96868"/>
    <w:rsid w:val="00C96A50"/>
    <w:rsid w:val="00CA0416"/>
    <w:rsid w:val="00CA3C65"/>
    <w:rsid w:val="00CA42F7"/>
    <w:rsid w:val="00CA5A11"/>
    <w:rsid w:val="00CA74E1"/>
    <w:rsid w:val="00CA7F35"/>
    <w:rsid w:val="00CB1375"/>
    <w:rsid w:val="00CB622E"/>
    <w:rsid w:val="00CC36E7"/>
    <w:rsid w:val="00CC3EAC"/>
    <w:rsid w:val="00CC5352"/>
    <w:rsid w:val="00CC560B"/>
    <w:rsid w:val="00CC75E2"/>
    <w:rsid w:val="00CC7D02"/>
    <w:rsid w:val="00CD46EB"/>
    <w:rsid w:val="00CD7EBF"/>
    <w:rsid w:val="00CE048C"/>
    <w:rsid w:val="00CE0AEB"/>
    <w:rsid w:val="00CE1D07"/>
    <w:rsid w:val="00CE1DA5"/>
    <w:rsid w:val="00CE25C8"/>
    <w:rsid w:val="00CE266F"/>
    <w:rsid w:val="00CF26ED"/>
    <w:rsid w:val="00CF3028"/>
    <w:rsid w:val="00CF5161"/>
    <w:rsid w:val="00CF6621"/>
    <w:rsid w:val="00D00821"/>
    <w:rsid w:val="00D04529"/>
    <w:rsid w:val="00D056F1"/>
    <w:rsid w:val="00D062E4"/>
    <w:rsid w:val="00D109A2"/>
    <w:rsid w:val="00D11171"/>
    <w:rsid w:val="00D14405"/>
    <w:rsid w:val="00D1541D"/>
    <w:rsid w:val="00D1700A"/>
    <w:rsid w:val="00D2071E"/>
    <w:rsid w:val="00D209C9"/>
    <w:rsid w:val="00D219BE"/>
    <w:rsid w:val="00D22F3C"/>
    <w:rsid w:val="00D23DB6"/>
    <w:rsid w:val="00D26814"/>
    <w:rsid w:val="00D3171B"/>
    <w:rsid w:val="00D33F56"/>
    <w:rsid w:val="00D3755E"/>
    <w:rsid w:val="00D402E8"/>
    <w:rsid w:val="00D41F65"/>
    <w:rsid w:val="00D43FE6"/>
    <w:rsid w:val="00D45DCC"/>
    <w:rsid w:val="00D475EA"/>
    <w:rsid w:val="00D51A95"/>
    <w:rsid w:val="00D53FD1"/>
    <w:rsid w:val="00D60568"/>
    <w:rsid w:val="00D6130E"/>
    <w:rsid w:val="00D6450B"/>
    <w:rsid w:val="00D64BA1"/>
    <w:rsid w:val="00D676CF"/>
    <w:rsid w:val="00D70C7A"/>
    <w:rsid w:val="00D71620"/>
    <w:rsid w:val="00D73931"/>
    <w:rsid w:val="00D74B0C"/>
    <w:rsid w:val="00D7794D"/>
    <w:rsid w:val="00D77CDF"/>
    <w:rsid w:val="00D81D38"/>
    <w:rsid w:val="00D8470F"/>
    <w:rsid w:val="00D8471A"/>
    <w:rsid w:val="00D85735"/>
    <w:rsid w:val="00D863FA"/>
    <w:rsid w:val="00D86D84"/>
    <w:rsid w:val="00D91129"/>
    <w:rsid w:val="00DA0C3A"/>
    <w:rsid w:val="00DA10A8"/>
    <w:rsid w:val="00DA3C7B"/>
    <w:rsid w:val="00DA64A1"/>
    <w:rsid w:val="00DB1E08"/>
    <w:rsid w:val="00DB2973"/>
    <w:rsid w:val="00DB324A"/>
    <w:rsid w:val="00DB7A08"/>
    <w:rsid w:val="00DC1B56"/>
    <w:rsid w:val="00DC2003"/>
    <w:rsid w:val="00DC2129"/>
    <w:rsid w:val="00DC2906"/>
    <w:rsid w:val="00DC3C72"/>
    <w:rsid w:val="00DC4549"/>
    <w:rsid w:val="00DC6570"/>
    <w:rsid w:val="00DD1E46"/>
    <w:rsid w:val="00DD3C5E"/>
    <w:rsid w:val="00DE3E7F"/>
    <w:rsid w:val="00DE5651"/>
    <w:rsid w:val="00DE76CB"/>
    <w:rsid w:val="00DE79D9"/>
    <w:rsid w:val="00DF25C3"/>
    <w:rsid w:val="00DF4DFE"/>
    <w:rsid w:val="00DF6CDB"/>
    <w:rsid w:val="00DF75D0"/>
    <w:rsid w:val="00E002EC"/>
    <w:rsid w:val="00E01FE3"/>
    <w:rsid w:val="00E04062"/>
    <w:rsid w:val="00E058B1"/>
    <w:rsid w:val="00E063C6"/>
    <w:rsid w:val="00E137A7"/>
    <w:rsid w:val="00E2003B"/>
    <w:rsid w:val="00E203C2"/>
    <w:rsid w:val="00E222BE"/>
    <w:rsid w:val="00E24DE8"/>
    <w:rsid w:val="00E279D8"/>
    <w:rsid w:val="00E27C07"/>
    <w:rsid w:val="00E319B1"/>
    <w:rsid w:val="00E335B0"/>
    <w:rsid w:val="00E34629"/>
    <w:rsid w:val="00E375A7"/>
    <w:rsid w:val="00E40501"/>
    <w:rsid w:val="00E40ED4"/>
    <w:rsid w:val="00E439B9"/>
    <w:rsid w:val="00E44E0D"/>
    <w:rsid w:val="00E520FE"/>
    <w:rsid w:val="00E52A4F"/>
    <w:rsid w:val="00E53477"/>
    <w:rsid w:val="00E5492F"/>
    <w:rsid w:val="00E57B37"/>
    <w:rsid w:val="00E61035"/>
    <w:rsid w:val="00E62BFE"/>
    <w:rsid w:val="00E62DEF"/>
    <w:rsid w:val="00E64BAB"/>
    <w:rsid w:val="00E66F4C"/>
    <w:rsid w:val="00E70A86"/>
    <w:rsid w:val="00E70DC1"/>
    <w:rsid w:val="00E72650"/>
    <w:rsid w:val="00E75054"/>
    <w:rsid w:val="00E751D6"/>
    <w:rsid w:val="00E777EC"/>
    <w:rsid w:val="00E80FCD"/>
    <w:rsid w:val="00E818C1"/>
    <w:rsid w:val="00E81F6E"/>
    <w:rsid w:val="00E97F24"/>
    <w:rsid w:val="00EA38DB"/>
    <w:rsid w:val="00EA7F2F"/>
    <w:rsid w:val="00EB6B63"/>
    <w:rsid w:val="00EC00DE"/>
    <w:rsid w:val="00EC30E1"/>
    <w:rsid w:val="00EC4A8E"/>
    <w:rsid w:val="00ED172A"/>
    <w:rsid w:val="00ED3C06"/>
    <w:rsid w:val="00EE0A23"/>
    <w:rsid w:val="00EE29C4"/>
    <w:rsid w:val="00EE397E"/>
    <w:rsid w:val="00EE4822"/>
    <w:rsid w:val="00EE7409"/>
    <w:rsid w:val="00EF2750"/>
    <w:rsid w:val="00EF5A66"/>
    <w:rsid w:val="00F0750B"/>
    <w:rsid w:val="00F14BEC"/>
    <w:rsid w:val="00F17C65"/>
    <w:rsid w:val="00F20076"/>
    <w:rsid w:val="00F225C5"/>
    <w:rsid w:val="00F239F6"/>
    <w:rsid w:val="00F2587A"/>
    <w:rsid w:val="00F320A2"/>
    <w:rsid w:val="00F33BB8"/>
    <w:rsid w:val="00F367E7"/>
    <w:rsid w:val="00F3715D"/>
    <w:rsid w:val="00F420C8"/>
    <w:rsid w:val="00F42937"/>
    <w:rsid w:val="00F42A4C"/>
    <w:rsid w:val="00F43A40"/>
    <w:rsid w:val="00F5041C"/>
    <w:rsid w:val="00F51C3F"/>
    <w:rsid w:val="00F51D2C"/>
    <w:rsid w:val="00F53B04"/>
    <w:rsid w:val="00F56718"/>
    <w:rsid w:val="00F5728B"/>
    <w:rsid w:val="00F604DE"/>
    <w:rsid w:val="00F6055F"/>
    <w:rsid w:val="00F6291C"/>
    <w:rsid w:val="00F63959"/>
    <w:rsid w:val="00F64653"/>
    <w:rsid w:val="00F64F01"/>
    <w:rsid w:val="00F736C6"/>
    <w:rsid w:val="00F818A2"/>
    <w:rsid w:val="00F85470"/>
    <w:rsid w:val="00F93D9E"/>
    <w:rsid w:val="00F94E5D"/>
    <w:rsid w:val="00F9619B"/>
    <w:rsid w:val="00FA12F4"/>
    <w:rsid w:val="00FA5D7D"/>
    <w:rsid w:val="00FA5FFC"/>
    <w:rsid w:val="00FB1533"/>
    <w:rsid w:val="00FB1547"/>
    <w:rsid w:val="00FB67A3"/>
    <w:rsid w:val="00FB7512"/>
    <w:rsid w:val="00FC09B0"/>
    <w:rsid w:val="00FC197B"/>
    <w:rsid w:val="00FC5616"/>
    <w:rsid w:val="00FC7887"/>
    <w:rsid w:val="00FD2CA0"/>
    <w:rsid w:val="00FD2E45"/>
    <w:rsid w:val="00FD2FBE"/>
    <w:rsid w:val="00FD7547"/>
    <w:rsid w:val="00FE380C"/>
    <w:rsid w:val="00FE69B5"/>
    <w:rsid w:val="00FF346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4"/>
    <o:shapelayout v:ext="edit">
      <o:idmap v:ext="edit" data="1"/>
    </o:shapelayout>
  </w:shapeDefaults>
  <w:decimalSymbol w:val="."/>
  <w:listSeparator w:val=","/>
  <w14:docId w14:val="2FFBF2BA"/>
  <w15:docId w15:val="{D5C28679-9E0A-4F85-8124-4B585398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2" w:qFormat="1"/>
    <w:lsdException w:name="heading 2" w:locked="1" w:uiPriority="2" w:qFormat="1"/>
    <w:lsdException w:name="heading 3" w:locked="1" w:uiPriority="2"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2"/>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2"/>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2"/>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2"/>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aliases w:val="FS Hyperlink"/>
    <w:basedOn w:val="DefaultParagraphFont"/>
    <w:uiPriority w:val="99"/>
    <w:qFormat/>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rsid w:val="00BE36B4"/>
    <w:pPr>
      <w:tabs>
        <w:tab w:val="left" w:pos="1134"/>
        <w:tab w:val="left" w:pos="1320"/>
        <w:tab w:val="right" w:leader="dot" w:pos="9060"/>
      </w:tabs>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aliases w:val="Footnotes Text,FSFootnotes Text,FSFootnote Text"/>
    <w:basedOn w:val="Normal"/>
    <w:link w:val="FootnoteTextChar"/>
    <w:qFormat/>
    <w:rsid w:val="00820535"/>
    <w:rPr>
      <w:sz w:val="20"/>
      <w:szCs w:val="20"/>
    </w:rPr>
  </w:style>
  <w:style w:type="character" w:customStyle="1" w:styleId="FootnoteTextChar">
    <w:name w:val="Footnote Text Char"/>
    <w:aliases w:val="Footnotes Text Char,FSFootnotes Text Char,FSFootnote Text Char"/>
    <w:basedOn w:val="DefaultParagraphFont"/>
    <w:link w:val="FootnoteText"/>
    <w:rsid w:val="00820535"/>
    <w:rPr>
      <w:rFonts w:ascii="Arial" w:hAnsi="Arial"/>
      <w:lang w:eastAsia="en-US" w:bidi="en-US"/>
    </w:rPr>
  </w:style>
  <w:style w:type="paragraph" w:customStyle="1" w:styleId="Default">
    <w:name w:val="Default"/>
    <w:rsid w:val="0015770F"/>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31C7"/>
    <w:pPr>
      <w:ind w:left="720"/>
      <w:contextualSpacing/>
    </w:pPr>
  </w:style>
  <w:style w:type="table" w:customStyle="1" w:styleId="TableGrid1">
    <w:name w:val="Table Grid1"/>
    <w:basedOn w:val="TableNormal"/>
    <w:next w:val="TableGrid"/>
    <w:uiPriority w:val="59"/>
    <w:rsid w:val="009D30D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gkelc">
    <w:name w:val="hgkelc"/>
    <w:basedOn w:val="DefaultParagraphFont"/>
    <w:rsid w:val="00A24C67"/>
  </w:style>
  <w:style w:type="paragraph" w:customStyle="1" w:styleId="Clause">
    <w:name w:val="Clause"/>
    <w:basedOn w:val="Normal"/>
    <w:next w:val="Normal"/>
    <w:link w:val="ClauseChar"/>
    <w:qFormat/>
    <w:rsid w:val="00942902"/>
    <w:pPr>
      <w:tabs>
        <w:tab w:val="left" w:pos="851"/>
      </w:tabs>
    </w:pPr>
    <w:rPr>
      <w:sz w:val="20"/>
      <w:szCs w:val="20"/>
      <w:lang w:bidi="ar-SA"/>
    </w:rPr>
  </w:style>
  <w:style w:type="character" w:customStyle="1" w:styleId="ClauseChar">
    <w:name w:val="Clause Char"/>
    <w:basedOn w:val="DefaultParagraphFont"/>
    <w:link w:val="Clause"/>
    <w:rsid w:val="00942902"/>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50058">
      <w:bodyDiv w:val="1"/>
      <w:marLeft w:val="0"/>
      <w:marRight w:val="0"/>
      <w:marTop w:val="0"/>
      <w:marBottom w:val="0"/>
      <w:divBdr>
        <w:top w:val="none" w:sz="0" w:space="0" w:color="auto"/>
        <w:left w:val="none" w:sz="0" w:space="0" w:color="auto"/>
        <w:bottom w:val="none" w:sz="0" w:space="0" w:color="auto"/>
        <w:right w:val="none" w:sz="0" w:space="0" w:color="auto"/>
      </w:divBdr>
    </w:div>
    <w:div w:id="267007899">
      <w:bodyDiv w:val="1"/>
      <w:marLeft w:val="0"/>
      <w:marRight w:val="0"/>
      <w:marTop w:val="0"/>
      <w:marBottom w:val="0"/>
      <w:divBdr>
        <w:top w:val="none" w:sz="0" w:space="0" w:color="auto"/>
        <w:left w:val="none" w:sz="0" w:space="0" w:color="auto"/>
        <w:bottom w:val="none" w:sz="0" w:space="0" w:color="auto"/>
        <w:right w:val="none" w:sz="0" w:space="0" w:color="auto"/>
      </w:divBdr>
    </w:div>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481894794">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845632312">
      <w:bodyDiv w:val="1"/>
      <w:marLeft w:val="0"/>
      <w:marRight w:val="0"/>
      <w:marTop w:val="0"/>
      <w:marBottom w:val="0"/>
      <w:divBdr>
        <w:top w:val="none" w:sz="0" w:space="0" w:color="auto"/>
        <w:left w:val="none" w:sz="0" w:space="0" w:color="auto"/>
        <w:bottom w:val="none" w:sz="0" w:space="0" w:color="auto"/>
        <w:right w:val="none" w:sz="0" w:space="0" w:color="auto"/>
      </w:divBdr>
      <w:divsChild>
        <w:div w:id="369913098">
          <w:marLeft w:val="0"/>
          <w:marRight w:val="0"/>
          <w:marTop w:val="0"/>
          <w:marBottom w:val="0"/>
          <w:divBdr>
            <w:top w:val="none" w:sz="0" w:space="0" w:color="auto"/>
            <w:left w:val="none" w:sz="0" w:space="0" w:color="auto"/>
            <w:bottom w:val="none" w:sz="0" w:space="0" w:color="auto"/>
            <w:right w:val="none" w:sz="0" w:space="0" w:color="auto"/>
          </w:divBdr>
          <w:divsChild>
            <w:div w:id="91321159">
              <w:marLeft w:val="0"/>
              <w:marRight w:val="0"/>
              <w:marTop w:val="0"/>
              <w:marBottom w:val="0"/>
              <w:divBdr>
                <w:top w:val="none" w:sz="0" w:space="0" w:color="auto"/>
                <w:left w:val="none" w:sz="0" w:space="0" w:color="auto"/>
                <w:bottom w:val="none" w:sz="0" w:space="0" w:color="auto"/>
                <w:right w:val="none" w:sz="0" w:space="0" w:color="auto"/>
              </w:divBdr>
              <w:divsChild>
                <w:div w:id="102961303">
                  <w:marLeft w:val="0"/>
                  <w:marRight w:val="0"/>
                  <w:marTop w:val="0"/>
                  <w:marBottom w:val="405"/>
                  <w:divBdr>
                    <w:top w:val="none" w:sz="0" w:space="0" w:color="auto"/>
                    <w:left w:val="none" w:sz="0" w:space="0" w:color="auto"/>
                    <w:bottom w:val="none" w:sz="0" w:space="0" w:color="auto"/>
                    <w:right w:val="none" w:sz="0" w:space="0" w:color="auto"/>
                  </w:divBdr>
                  <w:divsChild>
                    <w:div w:id="1155149987">
                      <w:marLeft w:val="300"/>
                      <w:marRight w:val="300"/>
                      <w:marTop w:val="100"/>
                      <w:marBottom w:val="100"/>
                      <w:divBdr>
                        <w:top w:val="none" w:sz="0" w:space="0" w:color="auto"/>
                        <w:left w:val="none" w:sz="0" w:space="0" w:color="auto"/>
                        <w:bottom w:val="none" w:sz="0" w:space="0" w:color="auto"/>
                        <w:right w:val="none" w:sz="0" w:space="0" w:color="auto"/>
                      </w:divBdr>
                      <w:divsChild>
                        <w:div w:id="856309095">
                          <w:marLeft w:val="0"/>
                          <w:marRight w:val="0"/>
                          <w:marTop w:val="0"/>
                          <w:marBottom w:val="0"/>
                          <w:divBdr>
                            <w:top w:val="none" w:sz="0" w:space="0" w:color="auto"/>
                            <w:left w:val="none" w:sz="0" w:space="0" w:color="auto"/>
                            <w:bottom w:val="none" w:sz="0" w:space="0" w:color="auto"/>
                            <w:right w:val="none" w:sz="0" w:space="0" w:color="auto"/>
                          </w:divBdr>
                          <w:divsChild>
                            <w:div w:id="1264729607">
                              <w:marLeft w:val="0"/>
                              <w:marRight w:val="0"/>
                              <w:marTop w:val="0"/>
                              <w:marBottom w:val="0"/>
                              <w:divBdr>
                                <w:top w:val="none" w:sz="0" w:space="0" w:color="auto"/>
                                <w:left w:val="none" w:sz="0" w:space="0" w:color="auto"/>
                                <w:bottom w:val="none" w:sz="0" w:space="0" w:color="auto"/>
                                <w:right w:val="none" w:sz="0" w:space="0" w:color="auto"/>
                              </w:divBdr>
                              <w:divsChild>
                                <w:div w:id="47357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5532546">
      <w:bodyDiv w:val="1"/>
      <w:marLeft w:val="0"/>
      <w:marRight w:val="0"/>
      <w:marTop w:val="0"/>
      <w:marBottom w:val="0"/>
      <w:divBdr>
        <w:top w:val="none" w:sz="0" w:space="0" w:color="auto"/>
        <w:left w:val="none" w:sz="0" w:space="0" w:color="auto"/>
        <w:bottom w:val="none" w:sz="0" w:space="0" w:color="auto"/>
        <w:right w:val="none" w:sz="0" w:space="0" w:color="auto"/>
      </w:divBdr>
    </w:div>
    <w:div w:id="1319458904">
      <w:bodyDiv w:val="1"/>
      <w:marLeft w:val="0"/>
      <w:marRight w:val="0"/>
      <w:marTop w:val="0"/>
      <w:marBottom w:val="0"/>
      <w:divBdr>
        <w:top w:val="none" w:sz="0" w:space="0" w:color="auto"/>
        <w:left w:val="none" w:sz="0" w:space="0" w:color="auto"/>
        <w:bottom w:val="none" w:sz="0" w:space="0" w:color="auto"/>
        <w:right w:val="none" w:sz="0" w:space="0" w:color="auto"/>
      </w:divBdr>
    </w:div>
    <w:div w:id="1401975920">
      <w:bodyDiv w:val="1"/>
      <w:marLeft w:val="0"/>
      <w:marRight w:val="0"/>
      <w:marTop w:val="0"/>
      <w:marBottom w:val="0"/>
      <w:divBdr>
        <w:top w:val="none" w:sz="0" w:space="0" w:color="auto"/>
        <w:left w:val="none" w:sz="0" w:space="0" w:color="auto"/>
        <w:bottom w:val="none" w:sz="0" w:space="0" w:color="auto"/>
        <w:right w:val="none" w:sz="0" w:space="0" w:color="auto"/>
      </w:divBdr>
      <w:divsChild>
        <w:div w:id="383677941">
          <w:marLeft w:val="0"/>
          <w:marRight w:val="0"/>
          <w:marTop w:val="0"/>
          <w:marBottom w:val="0"/>
          <w:divBdr>
            <w:top w:val="none" w:sz="0" w:space="0" w:color="auto"/>
            <w:left w:val="none" w:sz="0" w:space="0" w:color="auto"/>
            <w:bottom w:val="none" w:sz="0" w:space="0" w:color="auto"/>
            <w:right w:val="none" w:sz="0" w:space="0" w:color="auto"/>
          </w:divBdr>
          <w:divsChild>
            <w:div w:id="76556722">
              <w:marLeft w:val="0"/>
              <w:marRight w:val="0"/>
              <w:marTop w:val="0"/>
              <w:marBottom w:val="0"/>
              <w:divBdr>
                <w:top w:val="none" w:sz="0" w:space="0" w:color="auto"/>
                <w:left w:val="none" w:sz="0" w:space="0" w:color="auto"/>
                <w:bottom w:val="none" w:sz="0" w:space="0" w:color="auto"/>
                <w:right w:val="none" w:sz="0" w:space="0" w:color="auto"/>
              </w:divBdr>
              <w:divsChild>
                <w:div w:id="1583762347">
                  <w:marLeft w:val="0"/>
                  <w:marRight w:val="0"/>
                  <w:marTop w:val="0"/>
                  <w:marBottom w:val="405"/>
                  <w:divBdr>
                    <w:top w:val="none" w:sz="0" w:space="0" w:color="auto"/>
                    <w:left w:val="none" w:sz="0" w:space="0" w:color="auto"/>
                    <w:bottom w:val="none" w:sz="0" w:space="0" w:color="auto"/>
                    <w:right w:val="none" w:sz="0" w:space="0" w:color="auto"/>
                  </w:divBdr>
                  <w:divsChild>
                    <w:div w:id="656346399">
                      <w:marLeft w:val="300"/>
                      <w:marRight w:val="300"/>
                      <w:marTop w:val="100"/>
                      <w:marBottom w:val="100"/>
                      <w:divBdr>
                        <w:top w:val="none" w:sz="0" w:space="0" w:color="auto"/>
                        <w:left w:val="none" w:sz="0" w:space="0" w:color="auto"/>
                        <w:bottom w:val="none" w:sz="0" w:space="0" w:color="auto"/>
                        <w:right w:val="none" w:sz="0" w:space="0" w:color="auto"/>
                      </w:divBdr>
                      <w:divsChild>
                        <w:div w:id="1648824549">
                          <w:marLeft w:val="0"/>
                          <w:marRight w:val="0"/>
                          <w:marTop w:val="0"/>
                          <w:marBottom w:val="0"/>
                          <w:divBdr>
                            <w:top w:val="none" w:sz="0" w:space="0" w:color="auto"/>
                            <w:left w:val="none" w:sz="0" w:space="0" w:color="auto"/>
                            <w:bottom w:val="none" w:sz="0" w:space="0" w:color="auto"/>
                            <w:right w:val="none" w:sz="0" w:space="0" w:color="auto"/>
                          </w:divBdr>
                          <w:divsChild>
                            <w:div w:id="2145151019">
                              <w:marLeft w:val="0"/>
                              <w:marRight w:val="0"/>
                              <w:marTop w:val="0"/>
                              <w:marBottom w:val="0"/>
                              <w:divBdr>
                                <w:top w:val="none" w:sz="0" w:space="0" w:color="auto"/>
                                <w:left w:val="none" w:sz="0" w:space="0" w:color="auto"/>
                                <w:bottom w:val="none" w:sz="0" w:space="0" w:color="auto"/>
                                <w:right w:val="none" w:sz="0" w:space="0" w:color="auto"/>
                              </w:divBdr>
                              <w:divsChild>
                                <w:div w:id="9470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07376581">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foodstandards.gov.au/code/changes/Pages/Documents-for-public-comment.aspx" TargetMode="External"/><Relationship Id="rId26" Type="http://schemas.openxmlformats.org/officeDocument/2006/relationships/hyperlink" Target="https://efsa.onlinelibrary.wiley.com/doi/abs/10.2903/j.efsa.2019.5775"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submission/Pages/default.aspx" TargetMode="External"/><Relationship Id="rId25" Type="http://schemas.openxmlformats.org/officeDocument/2006/relationships/hyperlink" Target="https://eur-lex.europa.eu/legal-content/EN/TXT/PDF/?uri=CELEX:32020R0016&amp;from=EN" TargetMode="Externa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yperlink" Target="mailto:standards.management@foodstandards.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cfsanappsexternal.fda.gov/scripts/fdcc/index.cfm?set=GRASNotices&amp;id=635" TargetMode="External"/><Relationship Id="rId28" Type="http://schemas.openxmlformats.org/officeDocument/2006/relationships/image" Target="media/image2.png"/><Relationship Id="rId15" Type="http://schemas.openxmlformats.org/officeDocument/2006/relationships/hyperlink" Target="javascript:;"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mailto:submissions@foodstandards.gov.au"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cfsanappsexternal.fda.gov/scripts/fdcc/index.cfm?set=GRASNotice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fsanappsexternal.fda.gov/scripts/fdcc/index.cfm?set=GRASNotices&amp;id=635" TargetMode="External"/><Relationship Id="rId2" Type="http://schemas.openxmlformats.org/officeDocument/2006/relationships/hyperlink" Target="http://www.fao.org/fao-who-codexalimentarius/codex-texts/list-standards/en/" TargetMode="External"/><Relationship Id="rId1" Type="http://schemas.openxmlformats.org/officeDocument/2006/relationships/hyperlink" Target="http://www.fao.org/fao-who-codexalimentarius/codex-texts/list-standards/en/" TargetMode="External"/><Relationship Id="rId6" Type="http://schemas.openxmlformats.org/officeDocument/2006/relationships/hyperlink" Target="https://foodregulation.gov.au/internet/fr/publishing.nsf/Content/publication-Policy-Guideline-on-Intent-of-Part-2-9-of-the-Food-Standards-Code-Special-Purpose-Foods" TargetMode="External"/><Relationship Id="rId5" Type="http://schemas.openxmlformats.org/officeDocument/2006/relationships/hyperlink" Target="https://www.nrv.gov.au/nutrients/niacin" TargetMode="External"/><Relationship Id="rId4" Type="http://schemas.openxmlformats.org/officeDocument/2006/relationships/hyperlink" Target="https://eur-lex.europa.eu/legal-content/EN/TXT/PDF/?uri=CELEX:32020R0016&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A5F445D065DF37439B7CC2CE3DDEE2FF" ma:contentTypeVersion="23" ma:contentTypeDescription="Files created by FSANZ including letters, draft documents and ideas for FSANZ business." ma:contentTypeScope="" ma:versionID="8827f9c65d410311499ac9cb76d1b29d">
  <xsd:schema xmlns:xsd="http://www.w3.org/2001/XMLSchema" xmlns:xs="http://www.w3.org/2001/XMLSchema" xmlns:p="http://schemas.microsoft.com/office/2006/metadata/properties" xmlns:ns3="ec50576e-4a27-4780-a1e1-e59563bc70b8" xmlns:ns4="7e329c68-5cbf-4e54-96e5-e53e71021bd2" targetNamespace="http://schemas.microsoft.com/office/2006/metadata/properties" ma:root="true" ma:fieldsID="b910fd6dfd15266e4f7ec6bf0db8570f" ns3:_="" ns4:_="">
    <xsd:import namespace="ec50576e-4a27-4780-a1e1-e59563bc70b8"/>
    <xsd:import namespace="7e329c68-5cbf-4e54-96e5-e53e71021bd2"/>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1dd242-5574-46eb-ad7a-c292bf7fa417}" ma:internalName="TaxCatchAll" ma:showField="CatchAllData"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b1dd242-5574-46eb-ad7a-c292bf7fa417}" ma:internalName="TaxCatchAllLabel" ma:readOnly="true" ma:showField="CatchAllDataLabel" ma:web="7e329c68-5cbf-4e54-96e5-e53e71021bd2">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329c68-5cbf-4e54-96e5-e53e71021bd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AC1E-F6A4-43B9-BEA3-A33425304871}"/>
</file>

<file path=customXml/itemProps2.xml><?xml version="1.0" encoding="utf-8"?>
<ds:datastoreItem xmlns:ds="http://schemas.openxmlformats.org/officeDocument/2006/customXml" ds:itemID="{90C75202-9C94-4675-BA71-9F6D7DAFE1DF}"/>
</file>

<file path=customXml/itemProps3.xml><?xml version="1.0" encoding="utf-8"?>
<ds:datastoreItem xmlns:ds="http://schemas.openxmlformats.org/officeDocument/2006/customXml" ds:itemID="{FB693FF6-7EC4-490A-902D-609B89006739}"/>
</file>

<file path=customXml/itemProps4.xml><?xml version="1.0" encoding="utf-8"?>
<ds:datastoreItem xmlns:ds="http://schemas.openxmlformats.org/officeDocument/2006/customXml" ds:itemID="{CF8AAC1E-F6A4-43B9-BEA3-A33425304871}">
  <ds:schemaRefs>
    <ds:schemaRef ds:uri="http://schemas.microsoft.com/sharepoint/v3/contenttype/forms"/>
  </ds:schemaRefs>
</ds:datastoreItem>
</file>

<file path=customXml/itemProps5.xml><?xml version="1.0" encoding="utf-8"?>
<ds:datastoreItem xmlns:ds="http://schemas.openxmlformats.org/officeDocument/2006/customXml" ds:itemID="{73FB5DC8-C15F-4D68-B835-7C32079A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7e329c68-5cbf-4e54-96e5-e53e71021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7517BE9-BF9E-49D7-B137-52C5EAC62042}"/>
</file>

<file path=customXml/itemProps7.xml><?xml version="1.0" encoding="utf-8"?>
<ds:datastoreItem xmlns:ds="http://schemas.openxmlformats.org/officeDocument/2006/customXml" ds:itemID="{BD62C347-DF69-4A49-BAFA-86B8D7B24F6A}"/>
</file>

<file path=docProps/app.xml><?xml version="1.0" encoding="utf-8"?>
<Properties xmlns="http://schemas.openxmlformats.org/officeDocument/2006/extended-properties" xmlns:vt="http://schemas.openxmlformats.org/officeDocument/2006/docPropsVTypes">
  <Template>Normal</Template>
  <TotalTime>0</TotalTime>
  <Pages>18</Pages>
  <Words>6541</Words>
  <Characters>37289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43743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Tailee Vecchi</cp:lastModifiedBy>
  <cp:revision>2</cp:revision>
  <cp:lastPrinted>2021-04-21T02:32:00Z</cp:lastPrinted>
  <dcterms:created xsi:type="dcterms:W3CDTF">2021-04-21T04:31:00Z</dcterms:created>
  <dcterms:modified xsi:type="dcterms:W3CDTF">2021-04-21T04:31:00Z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abf1e207-4cef-4c9f-a420-87549ff91e2b</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7;#Evaluation|43bd8487-b9f6-4055-946c-a118d364275d</vt:lpwstr>
  </property>
  <property fmtid="{D5CDD505-2E9C-101B-9397-08002B2CF9AE}" pid="8" name="_dlc_DocIdItemGuid">
    <vt:lpwstr>9c823d7d-1744-499f-8885-58e64b25088d</vt:lpwstr>
  </property>
  <property fmtid="{D5CDD505-2E9C-101B-9397-08002B2CF9AE}" pid="9"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0" name="bjDocumentLabelXML-0">
    <vt:lpwstr>ames.com/2008/01/sie/internal/label"&gt;&lt;element uid="66ddac19-06c4-4e63-b4dd-d8240d87a23f" value="" /&gt;&lt;/sisl&gt;</vt:lpwstr>
  </property>
  <property fmtid="{D5CDD505-2E9C-101B-9397-08002B2CF9AE}" pid="11" name="bjDocumentSecurityLabel">
    <vt:lpwstr>NO SECURITY CLASSIFICATION REQUIRED</vt:lpwstr>
  </property>
  <property fmtid="{D5CDD505-2E9C-101B-9397-08002B2CF9AE}" pid="12" name="RecordPoint_WorkflowType">
    <vt:lpwstr>ActiveSubmitStub</vt:lpwstr>
  </property>
  <property fmtid="{D5CDD505-2E9C-101B-9397-08002B2CF9AE}" pid="13" name="RecordPoint_ActiveItemListId">
    <vt:lpwstr>{8c6cdb06-4770-4049-8dec-1fd4740d41c1}</vt:lpwstr>
  </property>
  <property fmtid="{D5CDD505-2E9C-101B-9397-08002B2CF9AE}" pid="14" name="RecordPoint_ActiveItemUniqueId">
    <vt:lpwstr>{9c823d7d-1744-499f-8885-58e64b25088d}</vt:lpwstr>
  </property>
  <property fmtid="{D5CDD505-2E9C-101B-9397-08002B2CF9AE}" pid="15" name="RecordPoint_ActiveItemWebId">
    <vt:lpwstr>{94262505-300e-43db-af1a-64e59ab6ba30}</vt:lpwstr>
  </property>
  <property fmtid="{D5CDD505-2E9C-101B-9397-08002B2CF9AE}" pid="16" name="RecordPoint_ActiveItemSiteId">
    <vt:lpwstr>{dd95a578-5c6a-4f11-92f7-f95884d628d6}</vt:lpwstr>
  </property>
  <property fmtid="{D5CDD505-2E9C-101B-9397-08002B2CF9AE}" pid="17" name="RecordPoint_RecordNumberSubmitted">
    <vt:lpwstr>R0000144385</vt:lpwstr>
  </property>
  <property fmtid="{D5CDD505-2E9C-101B-9397-08002B2CF9AE}" pid="18" name="RecordPoint_SubmissionCompleted">
    <vt:lpwstr>2021-04-14T16:25:08.9553556+10:00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